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62" w:type="pct"/>
        <w:tblCellSpacing w:w="15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0"/>
        <w:gridCol w:w="8731"/>
      </w:tblGrid>
      <w:tr w:rsidR="00286891" w:rsidRPr="00DD34DD">
        <w:trPr>
          <w:trHeight w:val="2085"/>
          <w:tblCellSpacing w:w="15" w:type="dxa"/>
        </w:trPr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891" w:rsidRPr="00DD34DD" w:rsidRDefault="007B68E0" w:rsidP="00286891">
            <w:pPr>
              <w:rPr>
                <w:color w:val="000066"/>
              </w:rPr>
            </w:pPr>
            <w:bookmarkStart w:id="0" w:name="_GoBack"/>
            <w:bookmarkEnd w:id="0"/>
            <w:r>
              <w:rPr>
                <w:noProof/>
                <w:color w:val="000066"/>
              </w:rPr>
              <w:drawing>
                <wp:inline distT="0" distB="0" distL="0" distR="0">
                  <wp:extent cx="990600" cy="1219200"/>
                  <wp:effectExtent l="19050" t="0" r="0" b="0"/>
                  <wp:docPr id="1" name="Picture 1" descr="press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s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891" w:rsidRPr="00DD34DD" w:rsidRDefault="00286891" w:rsidP="0028689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smartTag w:uri="urn:schemas-microsoft-com:office:smarttags" w:element="place">
              <w:r w:rsidRPr="00DD34DD">
                <w:rPr>
                  <w:b/>
                  <w:bCs/>
                </w:rPr>
                <w:t>NILE</w:t>
              </w:r>
            </w:smartTag>
            <w:r w:rsidRPr="00DD34DD">
              <w:rPr>
                <w:b/>
                <w:bCs/>
              </w:rPr>
              <w:t xml:space="preserve"> BASIN INITIATIVE </w:t>
            </w:r>
          </w:p>
          <w:p w:rsidR="00286891" w:rsidRPr="00DD34DD" w:rsidRDefault="005D6FAC" w:rsidP="00286891">
            <w:pPr>
              <w:jc w:val="center"/>
              <w:rPr>
                <w:i/>
              </w:rPr>
            </w:pPr>
            <w:r>
              <w:rPr>
                <w:i/>
              </w:rPr>
              <w:t>To achieve</w:t>
            </w:r>
            <w:r w:rsidR="00286891" w:rsidRPr="00DD34DD">
              <w:rPr>
                <w:i/>
              </w:rPr>
              <w:t xml:space="preserve"> sustainable socio</w:t>
            </w:r>
            <w:r w:rsidR="000E11E6">
              <w:rPr>
                <w:i/>
              </w:rPr>
              <w:t>-</w:t>
            </w:r>
            <w:r w:rsidR="00286891" w:rsidRPr="00DD34DD">
              <w:rPr>
                <w:i/>
              </w:rPr>
              <w:t>economic development</w:t>
            </w:r>
          </w:p>
          <w:p w:rsidR="00286891" w:rsidRDefault="00286891" w:rsidP="00286891">
            <w:pPr>
              <w:jc w:val="center"/>
              <w:rPr>
                <w:i/>
              </w:rPr>
            </w:pPr>
            <w:r w:rsidRPr="00DD34DD">
              <w:rPr>
                <w:i/>
              </w:rPr>
              <w:t xml:space="preserve">through the equitable utilization </w:t>
            </w:r>
            <w:r w:rsidR="000E11E6">
              <w:rPr>
                <w:i/>
              </w:rPr>
              <w:t xml:space="preserve">of </w:t>
            </w:r>
            <w:r w:rsidRPr="00DD34DD">
              <w:rPr>
                <w:i/>
              </w:rPr>
              <w:t xml:space="preserve">and benefit from </w:t>
            </w:r>
            <w:smartTag w:uri="urn:schemas-microsoft-com:office:smarttags" w:element="place">
              <w:smartTag w:uri="urn:schemas-microsoft-com:office:smarttags" w:element="PlaceName">
                <w:r w:rsidRPr="00DD34DD">
                  <w:rPr>
                    <w:i/>
                  </w:rPr>
                  <w:t>Nile</w:t>
                </w:r>
              </w:smartTag>
              <w:r w:rsidRPr="00DD34DD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DD34DD">
                  <w:rPr>
                    <w:i/>
                  </w:rPr>
                  <w:t>Basin</w:t>
                </w:r>
              </w:smartTag>
            </w:smartTag>
            <w:r w:rsidRPr="00DD34DD">
              <w:rPr>
                <w:i/>
              </w:rPr>
              <w:t xml:space="preserve"> water resources</w:t>
            </w:r>
          </w:p>
          <w:p w:rsidR="008E5F85" w:rsidRDefault="008E5F85" w:rsidP="008E5F85">
            <w:pPr>
              <w:rPr>
                <w:rFonts w:ascii="Calibri" w:hAnsi="Calibri"/>
                <w:b/>
              </w:rPr>
            </w:pPr>
          </w:p>
          <w:p w:rsidR="008E5F85" w:rsidRPr="005500B1" w:rsidRDefault="008E5F85" w:rsidP="008E5F85">
            <w:pPr>
              <w:rPr>
                <w:rFonts w:ascii="Calibri" w:hAnsi="Calibri"/>
                <w:b/>
              </w:rPr>
            </w:pPr>
            <w:r w:rsidRPr="005500B1">
              <w:rPr>
                <w:rFonts w:ascii="Calibri" w:hAnsi="Calibri"/>
                <w:b/>
              </w:rPr>
              <w:t>Contacts:</w:t>
            </w:r>
            <w:r>
              <w:rPr>
                <w:rFonts w:ascii="Calibri" w:hAnsi="Calibri"/>
                <w:b/>
              </w:rPr>
              <w:t xml:space="preserve"> </w:t>
            </w:r>
            <w:r w:rsidRPr="005500B1">
              <w:rPr>
                <w:rFonts w:ascii="Calibri" w:hAnsi="Calibri"/>
              </w:rPr>
              <w:t>P.O Box 192</w:t>
            </w:r>
            <w:r>
              <w:rPr>
                <w:rFonts w:ascii="Calibri" w:hAnsi="Calibri"/>
                <w:b/>
              </w:rPr>
              <w:t xml:space="preserve">, </w:t>
            </w:r>
            <w:r w:rsidRPr="005500B1">
              <w:rPr>
                <w:rFonts w:ascii="Calibri" w:hAnsi="Calibri"/>
              </w:rPr>
              <w:t>Entebbe- Uganda</w:t>
            </w:r>
            <w:r>
              <w:rPr>
                <w:rFonts w:ascii="Calibri" w:hAnsi="Calibri"/>
                <w:b/>
              </w:rPr>
              <w:t>; Tel</w:t>
            </w:r>
            <w:r w:rsidRPr="005500B1">
              <w:rPr>
                <w:rFonts w:ascii="Calibri" w:hAnsi="Calibri"/>
              </w:rPr>
              <w:t>+256 (414) 321 424</w:t>
            </w:r>
            <w:r>
              <w:rPr>
                <w:rFonts w:ascii="Calibri" w:hAnsi="Calibri"/>
                <w:b/>
              </w:rPr>
              <w:t>/</w:t>
            </w:r>
            <w:r w:rsidRPr="005500B1">
              <w:rPr>
                <w:rFonts w:ascii="Calibri" w:hAnsi="Calibri"/>
              </w:rPr>
              <w:t>+256 (414)321 329</w:t>
            </w:r>
          </w:p>
          <w:p w:rsidR="008E5F85" w:rsidRPr="005500B1" w:rsidRDefault="008E5F85" w:rsidP="008E5F85">
            <w:pPr>
              <w:jc w:val="center"/>
              <w:rPr>
                <w:rFonts w:ascii="Calibri" w:hAnsi="Calibri"/>
              </w:rPr>
            </w:pPr>
            <w:r w:rsidRPr="008E5F85">
              <w:rPr>
                <w:rFonts w:ascii="Calibri" w:hAnsi="Calibri"/>
                <w:b/>
              </w:rPr>
              <w:t>Email</w:t>
            </w:r>
            <w:r w:rsidRPr="005500B1">
              <w:rPr>
                <w:rFonts w:ascii="Calibri" w:hAnsi="Calibri"/>
              </w:rPr>
              <w:t xml:space="preserve">: </w:t>
            </w:r>
            <w:hyperlink r:id="rId8" w:history="1">
              <w:r w:rsidRPr="005500B1">
                <w:rPr>
                  <w:rStyle w:val="Hyperlink"/>
                  <w:rFonts w:ascii="Calibri" w:hAnsi="Calibri"/>
                </w:rPr>
                <w:t>nbisec@nilebasin.org</w:t>
              </w:r>
            </w:hyperlink>
          </w:p>
          <w:p w:rsidR="008E5F85" w:rsidRPr="005500B1" w:rsidRDefault="008E5F85" w:rsidP="008E5F85">
            <w:pPr>
              <w:jc w:val="center"/>
              <w:rPr>
                <w:rFonts w:ascii="Calibri" w:hAnsi="Calibri"/>
              </w:rPr>
            </w:pPr>
            <w:r w:rsidRPr="008E5F85">
              <w:rPr>
                <w:rFonts w:ascii="Calibri" w:hAnsi="Calibri"/>
                <w:b/>
              </w:rPr>
              <w:t>Website</w:t>
            </w:r>
            <w:r w:rsidRPr="005500B1">
              <w:rPr>
                <w:rFonts w:ascii="Calibri" w:hAnsi="Calibri"/>
              </w:rPr>
              <w:t xml:space="preserve">: </w:t>
            </w:r>
            <w:hyperlink r:id="rId9" w:history="1">
              <w:r w:rsidRPr="005500B1">
                <w:rPr>
                  <w:rStyle w:val="Hyperlink"/>
                  <w:rFonts w:ascii="Calibri" w:hAnsi="Calibri"/>
                </w:rPr>
                <w:t>www.nilebasin.org</w:t>
              </w:r>
            </w:hyperlink>
          </w:p>
          <w:p w:rsidR="008E5F85" w:rsidRDefault="008E5F85" w:rsidP="00286891">
            <w:pPr>
              <w:jc w:val="center"/>
              <w:rPr>
                <w:i/>
              </w:rPr>
            </w:pPr>
          </w:p>
          <w:p w:rsidR="008E5F85" w:rsidRPr="00DD34DD" w:rsidRDefault="008E5F85" w:rsidP="00286891">
            <w:pPr>
              <w:jc w:val="center"/>
            </w:pPr>
          </w:p>
        </w:tc>
      </w:tr>
    </w:tbl>
    <w:p w:rsidR="00286891" w:rsidRDefault="00286891" w:rsidP="00286891">
      <w:pPr>
        <w:pStyle w:val="Heading2"/>
        <w:jc w:val="center"/>
        <w:rPr>
          <w:color w:val="000000"/>
          <w:sz w:val="24"/>
          <w:szCs w:val="24"/>
        </w:rPr>
      </w:pPr>
    </w:p>
    <w:p w:rsidR="00286891" w:rsidRPr="00805F2E" w:rsidRDefault="00286891" w:rsidP="00286891">
      <w:pPr>
        <w:pStyle w:val="Heading2"/>
        <w:jc w:val="center"/>
        <w:rPr>
          <w:color w:val="000000"/>
          <w:sz w:val="24"/>
          <w:szCs w:val="24"/>
        </w:rPr>
      </w:pPr>
      <w:r w:rsidRPr="00805F2E">
        <w:rPr>
          <w:color w:val="000000"/>
          <w:sz w:val="24"/>
          <w:szCs w:val="24"/>
        </w:rPr>
        <w:t xml:space="preserve">PRESS RELEASE </w:t>
      </w:r>
    </w:p>
    <w:p w:rsidR="00405864" w:rsidRPr="00805F2E" w:rsidRDefault="00405864" w:rsidP="00286891">
      <w:pPr>
        <w:pStyle w:val="Heading2"/>
        <w:rPr>
          <w:b w:val="0"/>
          <w:color w:val="000000"/>
          <w:sz w:val="24"/>
          <w:szCs w:val="24"/>
        </w:rPr>
      </w:pPr>
    </w:p>
    <w:p w:rsidR="00286891" w:rsidRPr="00805F2E" w:rsidRDefault="00286891" w:rsidP="00286891">
      <w:pPr>
        <w:pStyle w:val="Heading2"/>
        <w:rPr>
          <w:b w:val="0"/>
          <w:color w:val="000000"/>
          <w:sz w:val="24"/>
          <w:szCs w:val="24"/>
        </w:rPr>
      </w:pPr>
      <w:r w:rsidRPr="00805F2E">
        <w:rPr>
          <w:b w:val="0"/>
          <w:color w:val="000000"/>
          <w:sz w:val="24"/>
          <w:szCs w:val="24"/>
        </w:rPr>
        <w:t>FOR IMMEDIATE RELEASE</w:t>
      </w:r>
    </w:p>
    <w:p w:rsidR="00286891" w:rsidRPr="00805F2E" w:rsidRDefault="002F70F2" w:rsidP="00286891">
      <w:pPr>
        <w:pStyle w:val="Heading2"/>
        <w:rPr>
          <w:b w:val="0"/>
          <w:color w:val="000000"/>
          <w:sz w:val="24"/>
          <w:szCs w:val="24"/>
        </w:rPr>
      </w:pPr>
      <w:r w:rsidRPr="00805F2E">
        <w:rPr>
          <w:b w:val="0"/>
          <w:color w:val="000000"/>
          <w:sz w:val="24"/>
          <w:szCs w:val="24"/>
        </w:rPr>
        <w:t>1</w:t>
      </w:r>
      <w:r w:rsidR="00EF1830">
        <w:rPr>
          <w:b w:val="0"/>
          <w:color w:val="000000"/>
          <w:sz w:val="24"/>
          <w:szCs w:val="24"/>
        </w:rPr>
        <w:t>8</w:t>
      </w:r>
      <w:r w:rsidRPr="00805F2E">
        <w:rPr>
          <w:b w:val="0"/>
          <w:color w:val="000000"/>
          <w:sz w:val="24"/>
          <w:szCs w:val="24"/>
          <w:vertAlign w:val="superscript"/>
        </w:rPr>
        <w:t>th</w:t>
      </w:r>
      <w:r w:rsidR="00805F2E" w:rsidRPr="00805F2E">
        <w:rPr>
          <w:b w:val="0"/>
          <w:color w:val="000000"/>
          <w:sz w:val="24"/>
          <w:szCs w:val="24"/>
        </w:rPr>
        <w:t xml:space="preserve"> June, 2014</w:t>
      </w:r>
    </w:p>
    <w:p w:rsidR="005C11FA" w:rsidRPr="00805F2E" w:rsidRDefault="006634CA" w:rsidP="00286891">
      <w:pPr>
        <w:pStyle w:val="Heading2"/>
        <w:rPr>
          <w:rStyle w:val="setbodysmall"/>
          <w:color w:val="000000"/>
          <w:sz w:val="24"/>
          <w:szCs w:val="24"/>
        </w:rPr>
      </w:pPr>
      <w:r w:rsidRPr="00805F2E">
        <w:rPr>
          <w:color w:val="000000"/>
          <w:sz w:val="24"/>
          <w:szCs w:val="24"/>
        </w:rPr>
        <w:t xml:space="preserve">Nile Council of </w:t>
      </w:r>
      <w:r w:rsidR="005C11FA" w:rsidRPr="00805F2E">
        <w:rPr>
          <w:color w:val="000000"/>
          <w:sz w:val="24"/>
          <w:szCs w:val="24"/>
        </w:rPr>
        <w:t xml:space="preserve">Ministers to meet </w:t>
      </w:r>
      <w:r w:rsidR="00A53138" w:rsidRPr="00805F2E">
        <w:rPr>
          <w:color w:val="000000"/>
          <w:sz w:val="24"/>
          <w:szCs w:val="24"/>
        </w:rPr>
        <w:t xml:space="preserve">in Khartoum </w:t>
      </w:r>
      <w:r w:rsidR="005C11FA" w:rsidRPr="00805F2E">
        <w:rPr>
          <w:color w:val="000000"/>
          <w:sz w:val="24"/>
          <w:szCs w:val="24"/>
        </w:rPr>
        <w:t xml:space="preserve">on </w:t>
      </w:r>
      <w:r w:rsidRPr="00805F2E">
        <w:rPr>
          <w:color w:val="000000"/>
          <w:sz w:val="24"/>
          <w:szCs w:val="24"/>
        </w:rPr>
        <w:t>19</w:t>
      </w:r>
      <w:r w:rsidR="005C11FA" w:rsidRPr="00805F2E">
        <w:rPr>
          <w:color w:val="000000"/>
          <w:sz w:val="24"/>
          <w:szCs w:val="24"/>
          <w:vertAlign w:val="superscript"/>
        </w:rPr>
        <w:t>th</w:t>
      </w:r>
      <w:r w:rsidRPr="00805F2E">
        <w:rPr>
          <w:color w:val="000000"/>
          <w:sz w:val="24"/>
          <w:szCs w:val="24"/>
        </w:rPr>
        <w:t xml:space="preserve"> June, 2014</w:t>
      </w:r>
      <w:r w:rsidR="005C11FA" w:rsidRPr="00805F2E">
        <w:rPr>
          <w:color w:val="000000"/>
          <w:sz w:val="24"/>
          <w:szCs w:val="24"/>
        </w:rPr>
        <w:t xml:space="preserve"> </w:t>
      </w:r>
    </w:p>
    <w:p w:rsidR="008B792B" w:rsidRPr="00805F2E" w:rsidRDefault="002F70F2" w:rsidP="004337CA">
      <w:pPr>
        <w:jc w:val="both"/>
      </w:pPr>
      <w:r w:rsidRPr="00805F2E">
        <w:rPr>
          <w:b/>
        </w:rPr>
        <w:lastRenderedPageBreak/>
        <w:t>ENTEBBE</w:t>
      </w:r>
      <w:r w:rsidR="00C11782" w:rsidRPr="00805F2E">
        <w:rPr>
          <w:b/>
        </w:rPr>
        <w:t xml:space="preserve">, </w:t>
      </w:r>
      <w:r w:rsidRPr="00805F2E">
        <w:rPr>
          <w:b/>
        </w:rPr>
        <w:t>Uganda</w:t>
      </w:r>
      <w:r w:rsidR="00C11782" w:rsidRPr="00805F2E">
        <w:rPr>
          <w:b/>
        </w:rPr>
        <w:t xml:space="preserve"> – </w:t>
      </w:r>
      <w:r w:rsidR="008B792B" w:rsidRPr="00805F2E">
        <w:t xml:space="preserve">Ministers in charge of Water Affairs in the Nile Basin countries are due to meet in </w:t>
      </w:r>
      <w:r w:rsidR="00C868F3">
        <w:t xml:space="preserve">Khartoum, The Sudan  in </w:t>
      </w:r>
      <w:r w:rsidR="008B792B" w:rsidRPr="00805F2E">
        <w:t xml:space="preserve">their annual </w:t>
      </w:r>
      <w:r w:rsidR="004D574F">
        <w:t>22</w:t>
      </w:r>
      <w:r w:rsidR="004D574F" w:rsidRPr="004D574F">
        <w:rPr>
          <w:vertAlign w:val="superscript"/>
        </w:rPr>
        <w:t>nd</w:t>
      </w:r>
      <w:r w:rsidR="004D574F">
        <w:t xml:space="preserve"> </w:t>
      </w:r>
      <w:r w:rsidR="00E9225E">
        <w:t xml:space="preserve">Nile Council of Ministers (Nile-COM) </w:t>
      </w:r>
      <w:r w:rsidR="008B792B" w:rsidRPr="00805F2E">
        <w:t>meeting on Thursday 19</w:t>
      </w:r>
      <w:r w:rsidR="008B792B" w:rsidRPr="00805F2E">
        <w:rPr>
          <w:vertAlign w:val="superscript"/>
        </w:rPr>
        <w:t>th</w:t>
      </w:r>
      <w:r w:rsidR="00C868F3">
        <w:t xml:space="preserve"> June, 2014 at Corinthia Hotel</w:t>
      </w:r>
      <w:r w:rsidR="008B792B" w:rsidRPr="00805F2E">
        <w:t xml:space="preserve">. </w:t>
      </w:r>
    </w:p>
    <w:p w:rsidR="008B792B" w:rsidRPr="006B2DCB" w:rsidRDefault="008B792B" w:rsidP="004337CA">
      <w:pPr>
        <w:jc w:val="both"/>
        <w:rPr>
          <w:rFonts w:asciiTheme="minorHAnsi" w:hAnsiTheme="minorHAnsi" w:cstheme="minorHAnsi"/>
        </w:rPr>
      </w:pPr>
    </w:p>
    <w:p w:rsidR="00D944B5" w:rsidRPr="006B2DCB" w:rsidRDefault="004D574F" w:rsidP="004337CA">
      <w:pPr>
        <w:tabs>
          <w:tab w:val="left" w:pos="7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During</w:t>
      </w:r>
      <w:r w:rsidR="00D944B5" w:rsidRPr="006B2DCB">
        <w:rPr>
          <w:rFonts w:asciiTheme="minorHAnsi" w:hAnsiTheme="minorHAnsi" w:cstheme="minorHAnsi"/>
        </w:rPr>
        <w:t xml:space="preserve"> the meeting, </w:t>
      </w:r>
      <w:r>
        <w:rPr>
          <w:rFonts w:asciiTheme="minorHAnsi" w:hAnsiTheme="minorHAnsi" w:cstheme="minorHAnsi"/>
        </w:rPr>
        <w:t>there will be</w:t>
      </w:r>
      <w:r w:rsidR="0033668C" w:rsidRPr="006B2DCB">
        <w:rPr>
          <w:rFonts w:asciiTheme="minorHAnsi" w:hAnsiTheme="minorHAnsi" w:cstheme="minorHAnsi"/>
        </w:rPr>
        <w:t xml:space="preserve"> a change in the NBI </w:t>
      </w:r>
      <w:r w:rsidR="00D944B5" w:rsidRPr="006B2DCB">
        <w:rPr>
          <w:rFonts w:asciiTheme="minorHAnsi" w:hAnsiTheme="minorHAnsi" w:cstheme="minorHAnsi"/>
        </w:rPr>
        <w:t xml:space="preserve">governance. Hon. Jemma Nunu Kumba, </w:t>
      </w:r>
      <w:r w:rsidR="00D944B5" w:rsidRPr="006B2DCB">
        <w:rPr>
          <w:rFonts w:asciiTheme="minorHAnsi" w:hAnsiTheme="minorHAnsi" w:cstheme="minorHAnsi"/>
          <w:bCs/>
          <w:color w:val="000000"/>
        </w:rPr>
        <w:t xml:space="preserve">South Sudan’s Minister of </w:t>
      </w:r>
      <w:r w:rsidR="00D944B5" w:rsidRPr="006B2DCB">
        <w:rPr>
          <w:rFonts w:asciiTheme="minorHAnsi" w:eastAsia="Batang" w:hAnsiTheme="minorHAnsi" w:cstheme="minorHAnsi"/>
          <w:color w:val="000000"/>
        </w:rPr>
        <w:t xml:space="preserve">Electricity, Water and Irrigation will hand over </w:t>
      </w:r>
      <w:r w:rsidR="00B948AA">
        <w:rPr>
          <w:rFonts w:asciiTheme="minorHAnsi" w:eastAsia="Batang" w:hAnsiTheme="minorHAnsi" w:cstheme="minorHAnsi"/>
          <w:color w:val="000000"/>
        </w:rPr>
        <w:t xml:space="preserve">the chairmanship of the Nile Council of Ministers (Nile-COM) </w:t>
      </w:r>
      <w:r w:rsidR="005F6AC1">
        <w:rPr>
          <w:rFonts w:asciiTheme="minorHAnsi" w:eastAsia="Batang" w:hAnsiTheme="minorHAnsi" w:cstheme="minorHAnsi"/>
          <w:color w:val="000000"/>
        </w:rPr>
        <w:t>to Hon. Mu</w:t>
      </w:r>
      <w:r w:rsidR="00D944B5" w:rsidRPr="006B2DCB">
        <w:rPr>
          <w:rFonts w:asciiTheme="minorHAnsi" w:eastAsia="Batang" w:hAnsiTheme="minorHAnsi" w:cstheme="minorHAnsi"/>
          <w:color w:val="000000"/>
        </w:rPr>
        <w:t xml:space="preserve">taz Musa </w:t>
      </w:r>
      <w:r w:rsidR="00D944B5" w:rsidRPr="006B2DCB">
        <w:rPr>
          <w:rFonts w:asciiTheme="minorHAnsi" w:hAnsiTheme="minorHAnsi" w:cstheme="minorHAnsi"/>
        </w:rPr>
        <w:t>Abdalla Salim</w:t>
      </w:r>
      <w:r w:rsidR="00B948AA">
        <w:rPr>
          <w:rFonts w:asciiTheme="minorHAnsi" w:hAnsiTheme="minorHAnsi" w:cstheme="minorHAnsi"/>
        </w:rPr>
        <w:t xml:space="preserve">, </w:t>
      </w:r>
      <w:r w:rsidR="00B948AA" w:rsidRPr="00805F2E">
        <w:rPr>
          <w:rFonts w:eastAsia="Batang"/>
          <w:color w:val="000000"/>
        </w:rPr>
        <w:t>Minister</w:t>
      </w:r>
      <w:r w:rsidR="00B948AA" w:rsidRPr="00805F2E">
        <w:t xml:space="preserve"> of Water Resources and Electricity of The Sudan</w:t>
      </w:r>
      <w:r w:rsidR="00B948AA">
        <w:t>.</w:t>
      </w:r>
    </w:p>
    <w:p w:rsidR="005F6AC1" w:rsidRDefault="005F6AC1" w:rsidP="004337CA">
      <w:pPr>
        <w:autoSpaceDE w:val="0"/>
        <w:autoSpaceDN w:val="0"/>
        <w:adjustRightInd w:val="0"/>
        <w:spacing w:before="60" w:after="60"/>
        <w:jc w:val="both"/>
        <w:rPr>
          <w:rFonts w:ascii="Arial Narrow" w:hAnsi="Arial Narrow"/>
          <w:b/>
        </w:rPr>
      </w:pPr>
    </w:p>
    <w:p w:rsidR="006968B6" w:rsidRDefault="00B948AA" w:rsidP="004337CA">
      <w:pPr>
        <w:autoSpaceDE w:val="0"/>
        <w:autoSpaceDN w:val="0"/>
        <w:adjustRightInd w:val="0"/>
        <w:spacing w:before="60" w:after="60"/>
        <w:jc w:val="both"/>
        <w:rPr>
          <w:bCs/>
          <w:color w:val="000000" w:themeColor="text1"/>
        </w:rPr>
      </w:pPr>
      <w:r>
        <w:rPr>
          <w:rFonts w:eastAsia="Batang"/>
          <w:color w:val="000000"/>
        </w:rPr>
        <w:t xml:space="preserve">In addition, the </w:t>
      </w:r>
      <w:r w:rsidRPr="00805F2E">
        <w:rPr>
          <w:bCs/>
          <w:color w:val="000000" w:themeColor="text1"/>
        </w:rPr>
        <w:t>7</w:t>
      </w:r>
      <w:r w:rsidRPr="00805F2E">
        <w:rPr>
          <w:bCs/>
          <w:color w:val="000000" w:themeColor="text1"/>
          <w:vertAlign w:val="superscript"/>
        </w:rPr>
        <w:t>th</w:t>
      </w:r>
      <w:r w:rsidRPr="00805F2E">
        <w:rPr>
          <w:bCs/>
          <w:color w:val="000000" w:themeColor="text1"/>
        </w:rPr>
        <w:t xml:space="preserve"> Executive Director of the</w:t>
      </w:r>
      <w:r w:rsidRPr="00805F2E">
        <w:rPr>
          <w:bCs/>
          <w:i/>
          <w:color w:val="000000" w:themeColor="text1"/>
        </w:rPr>
        <w:t xml:space="preserve"> </w:t>
      </w:r>
      <w:r w:rsidRPr="00805F2E">
        <w:rPr>
          <w:bCs/>
          <w:color w:val="000000" w:themeColor="text1"/>
        </w:rPr>
        <w:t xml:space="preserve">NBI Secretariat </w:t>
      </w:r>
      <w:r>
        <w:rPr>
          <w:bCs/>
          <w:color w:val="000000" w:themeColor="text1"/>
        </w:rPr>
        <w:t xml:space="preserve">will be announced </w:t>
      </w:r>
      <w:r w:rsidR="00C868F3">
        <w:rPr>
          <w:bCs/>
          <w:color w:val="000000" w:themeColor="text1"/>
        </w:rPr>
        <w:t>a</w:t>
      </w:r>
      <w:r w:rsidR="006968B6">
        <w:rPr>
          <w:bCs/>
          <w:color w:val="000000" w:themeColor="text1"/>
        </w:rPr>
        <w:t>nd she/he will assume the position effective 1</w:t>
      </w:r>
      <w:r w:rsidR="006968B6" w:rsidRPr="006968B6">
        <w:rPr>
          <w:bCs/>
          <w:color w:val="000000" w:themeColor="text1"/>
          <w:vertAlign w:val="superscript"/>
        </w:rPr>
        <w:t>st</w:t>
      </w:r>
      <w:r w:rsidR="006968B6">
        <w:rPr>
          <w:bCs/>
          <w:color w:val="000000" w:themeColor="text1"/>
        </w:rPr>
        <w:t xml:space="preserve"> September, 2014.</w:t>
      </w:r>
    </w:p>
    <w:p w:rsidR="00D944B5" w:rsidRDefault="00D944B5" w:rsidP="004337CA">
      <w:pPr>
        <w:jc w:val="both"/>
        <w:rPr>
          <w:rFonts w:eastAsia="Batang"/>
          <w:color w:val="000000"/>
        </w:rPr>
      </w:pPr>
    </w:p>
    <w:p w:rsidR="00D944B5" w:rsidRDefault="00E9225E" w:rsidP="004337CA">
      <w:pPr>
        <w:jc w:val="both"/>
      </w:pPr>
      <w:r>
        <w:t xml:space="preserve">The Ministers will deliberate </w:t>
      </w:r>
      <w:r w:rsidRPr="00805F2E">
        <w:t>on the status of the Nile cooperation and how to move it forward.</w:t>
      </w:r>
      <w:r w:rsidR="006968B6">
        <w:t xml:space="preserve"> The</w:t>
      </w:r>
      <w:r>
        <w:t xml:space="preserve">y will also take time to </w:t>
      </w:r>
      <w:r w:rsidRPr="00805F2E">
        <w:t xml:space="preserve">review progress made by </w:t>
      </w:r>
      <w:r>
        <w:t>the Nile Basin Initiative (</w:t>
      </w:r>
      <w:r w:rsidRPr="00805F2E">
        <w:t>NBI</w:t>
      </w:r>
      <w:r>
        <w:t>)</w:t>
      </w:r>
      <w:r w:rsidRPr="00805F2E">
        <w:t xml:space="preserve"> </w:t>
      </w:r>
      <w:r w:rsidRPr="00805F2E">
        <w:rPr>
          <w:bCs/>
          <w:iCs/>
        </w:rPr>
        <w:t>in the previous fiscal year</w:t>
      </w:r>
      <w:r>
        <w:rPr>
          <w:bCs/>
          <w:iCs/>
        </w:rPr>
        <w:t>, consider the plans and budgets for the coming year and provide strategic guidance.</w:t>
      </w:r>
    </w:p>
    <w:p w:rsidR="00D944B5" w:rsidRDefault="00D944B5" w:rsidP="004337CA">
      <w:pPr>
        <w:jc w:val="both"/>
      </w:pPr>
    </w:p>
    <w:p w:rsidR="00E9225E" w:rsidRPr="00805F2E" w:rsidRDefault="00E9225E" w:rsidP="004337CA">
      <w:pPr>
        <w:jc w:val="both"/>
        <w:rPr>
          <w:rFonts w:eastAsia="Batang"/>
        </w:rPr>
      </w:pPr>
      <w:r>
        <w:lastRenderedPageBreak/>
        <w:t xml:space="preserve">The Nile-TAC, NBI management, </w:t>
      </w:r>
      <w:r w:rsidRPr="00805F2E">
        <w:t>Representatives of Development Partners</w:t>
      </w:r>
      <w:r>
        <w:t xml:space="preserve"> and the civil society will participate in meeting as observers.</w:t>
      </w:r>
    </w:p>
    <w:p w:rsidR="00E9225E" w:rsidRDefault="00E9225E" w:rsidP="004337CA">
      <w:pPr>
        <w:jc w:val="both"/>
      </w:pPr>
    </w:p>
    <w:p w:rsidR="00E9225E" w:rsidRDefault="00E9225E" w:rsidP="004337CA">
      <w:pPr>
        <w:jc w:val="both"/>
      </w:pPr>
      <w:r w:rsidRPr="00805F2E">
        <w:t>The</w:t>
      </w:r>
      <w:r>
        <w:t xml:space="preserve"> </w:t>
      </w:r>
      <w:r w:rsidRPr="00805F2E">
        <w:t>Nile-COM will be preceded by the 41</w:t>
      </w:r>
      <w:r w:rsidRPr="00805F2E">
        <w:rPr>
          <w:vertAlign w:val="superscript"/>
        </w:rPr>
        <w:t>st</w:t>
      </w:r>
      <w:r w:rsidRPr="00805F2E">
        <w:t xml:space="preserve"> Nile-Technical Advi</w:t>
      </w:r>
      <w:r>
        <w:t xml:space="preserve">sory Committee (Nile-TAC) meeting. </w:t>
      </w:r>
      <w:r w:rsidRPr="00E9225E">
        <w:t>The Nile-TAC</w:t>
      </w:r>
      <w:r w:rsidRPr="00E9225E">
        <w:rPr>
          <w:b/>
        </w:rPr>
        <w:t xml:space="preserve"> </w:t>
      </w:r>
      <w:r w:rsidRPr="00E9225E">
        <w:rPr>
          <w:rStyle w:val="Strong"/>
          <w:b w:val="0"/>
        </w:rPr>
        <w:t>comprises technical representatives from NBI Member States. It</w:t>
      </w:r>
      <w:r w:rsidRPr="00E9225E">
        <w:rPr>
          <w:rStyle w:val="Strong"/>
          <w:rFonts w:eastAsia="Batang"/>
          <w:b w:val="0"/>
        </w:rPr>
        <w:t xml:space="preserve"> oversees the work of NBI and offers technical support and advice to the Nile-COM on matters related to the cooperative management and development of the common Nile Basin water resources</w:t>
      </w:r>
      <w:r w:rsidR="006968B6">
        <w:rPr>
          <w:rStyle w:val="Strong"/>
          <w:rFonts w:eastAsia="Batang"/>
          <w:b w:val="0"/>
        </w:rPr>
        <w:t>.</w:t>
      </w:r>
    </w:p>
    <w:p w:rsidR="00E9225E" w:rsidRDefault="00E9225E" w:rsidP="00E9225E">
      <w:pPr>
        <w:jc w:val="both"/>
      </w:pPr>
    </w:p>
    <w:p w:rsidR="00E9225E" w:rsidRPr="004337CA" w:rsidRDefault="00E9225E" w:rsidP="00A53138">
      <w:pPr>
        <w:jc w:val="both"/>
        <w:rPr>
          <w:b/>
          <w:sz w:val="22"/>
          <w:szCs w:val="22"/>
        </w:rPr>
      </w:pPr>
      <w:r w:rsidRPr="004337CA">
        <w:rPr>
          <w:b/>
          <w:sz w:val="22"/>
          <w:szCs w:val="22"/>
        </w:rPr>
        <w:t>Notes to the Editor:</w:t>
      </w:r>
    </w:p>
    <w:p w:rsidR="00E9225E" w:rsidRPr="004337CA" w:rsidRDefault="00E9225E" w:rsidP="00E9225E">
      <w:pPr>
        <w:jc w:val="both"/>
        <w:rPr>
          <w:sz w:val="22"/>
          <w:szCs w:val="22"/>
        </w:rPr>
      </w:pPr>
      <w:r w:rsidRPr="004337CA">
        <w:rPr>
          <w:sz w:val="22"/>
          <w:szCs w:val="22"/>
        </w:rPr>
        <w:t xml:space="preserve">The changes in the NBI </w:t>
      </w:r>
      <w:r w:rsidR="006968B6" w:rsidRPr="004337CA">
        <w:rPr>
          <w:sz w:val="22"/>
          <w:szCs w:val="22"/>
        </w:rPr>
        <w:t>leadership</w:t>
      </w:r>
      <w:r w:rsidRPr="004337CA">
        <w:rPr>
          <w:sz w:val="22"/>
          <w:szCs w:val="22"/>
        </w:rPr>
        <w:t xml:space="preserve"> and </w:t>
      </w:r>
      <w:r w:rsidR="006968B6" w:rsidRPr="004337CA">
        <w:rPr>
          <w:sz w:val="22"/>
          <w:szCs w:val="22"/>
        </w:rPr>
        <w:t xml:space="preserve">top </w:t>
      </w:r>
      <w:r w:rsidRPr="004337CA">
        <w:rPr>
          <w:sz w:val="22"/>
          <w:szCs w:val="22"/>
        </w:rPr>
        <w:t>management are in keeping with the NBI tradition of rotating the two positions among Member States in alphabetical order</w:t>
      </w:r>
      <w:r w:rsidRPr="004337CA">
        <w:rPr>
          <w:i/>
          <w:sz w:val="22"/>
          <w:szCs w:val="22"/>
        </w:rPr>
        <w:t xml:space="preserve"> </w:t>
      </w:r>
      <w:r w:rsidRPr="004337CA">
        <w:rPr>
          <w:sz w:val="22"/>
          <w:szCs w:val="22"/>
        </w:rPr>
        <w:t xml:space="preserve">(Burundi, DR Congo, Egypt, Ethiopia, Kenya, Rwanda, South Sudan, Sudan, Tanzania and Uganda). Whereas the position of Nile-COM chair rotates each year, that of Executive Director rotates every two years. </w:t>
      </w:r>
    </w:p>
    <w:p w:rsidR="00E9225E" w:rsidRDefault="00E9225E" w:rsidP="00A53138">
      <w:pPr>
        <w:jc w:val="both"/>
      </w:pPr>
    </w:p>
    <w:p w:rsidR="00286891" w:rsidRPr="00805F2E" w:rsidRDefault="00286891" w:rsidP="00805F2E">
      <w:pPr>
        <w:pStyle w:val="NormalWeb"/>
        <w:jc w:val="center"/>
        <w:rPr>
          <w:b/>
          <w:color w:val="000000"/>
          <w:sz w:val="22"/>
          <w:szCs w:val="22"/>
        </w:rPr>
      </w:pPr>
      <w:r w:rsidRPr="00805F2E">
        <w:rPr>
          <w:b/>
          <w:color w:val="000000"/>
          <w:sz w:val="22"/>
          <w:szCs w:val="22"/>
        </w:rPr>
        <w:t>********</w:t>
      </w:r>
    </w:p>
    <w:p w:rsidR="005B79E9" w:rsidRPr="001A3653" w:rsidRDefault="005B79E9" w:rsidP="005B79E9">
      <w:pPr>
        <w:jc w:val="both"/>
        <w:rPr>
          <w:sz w:val="22"/>
          <w:szCs w:val="22"/>
        </w:rPr>
      </w:pPr>
      <w:r w:rsidRPr="001A3653">
        <w:rPr>
          <w:rFonts w:eastAsia="Batang"/>
          <w:sz w:val="22"/>
          <w:szCs w:val="22"/>
        </w:rPr>
        <w:t xml:space="preserve">The </w:t>
      </w:r>
      <w:r w:rsidR="0026668A" w:rsidRPr="001A3653">
        <w:rPr>
          <w:rFonts w:eastAsia="Batang"/>
          <w:sz w:val="22"/>
          <w:szCs w:val="22"/>
        </w:rPr>
        <w:t>NBI</w:t>
      </w:r>
      <w:r w:rsidRPr="001A3653">
        <w:rPr>
          <w:rFonts w:eastAsia="Batang"/>
          <w:sz w:val="22"/>
          <w:szCs w:val="22"/>
        </w:rPr>
        <w:t xml:space="preserve"> is a regional intergovernmental partnership </w:t>
      </w:r>
      <w:r w:rsidR="007A55A0" w:rsidRPr="001A3653">
        <w:rPr>
          <w:rFonts w:eastAsia="Batang"/>
          <w:sz w:val="22"/>
          <w:szCs w:val="22"/>
        </w:rPr>
        <w:t xml:space="preserve">launched </w:t>
      </w:r>
      <w:r w:rsidR="007A55A0">
        <w:rPr>
          <w:rFonts w:eastAsia="Batang"/>
          <w:sz w:val="22"/>
          <w:szCs w:val="22"/>
        </w:rPr>
        <w:t xml:space="preserve">by the Nile riparian countries </w:t>
      </w:r>
      <w:r w:rsidR="007A55A0" w:rsidRPr="001A3653">
        <w:rPr>
          <w:rFonts w:eastAsia="Batang"/>
          <w:sz w:val="22"/>
          <w:szCs w:val="22"/>
        </w:rPr>
        <w:t>on 22</w:t>
      </w:r>
      <w:r w:rsidR="007A55A0" w:rsidRPr="001A3653">
        <w:rPr>
          <w:rFonts w:eastAsia="Batang"/>
          <w:sz w:val="22"/>
          <w:szCs w:val="22"/>
          <w:vertAlign w:val="superscript"/>
        </w:rPr>
        <w:t>nd</w:t>
      </w:r>
      <w:r w:rsidR="007A55A0" w:rsidRPr="001A3653">
        <w:rPr>
          <w:rFonts w:eastAsia="Batang"/>
          <w:sz w:val="22"/>
          <w:szCs w:val="22"/>
        </w:rPr>
        <w:t xml:space="preserve"> February, 1999 </w:t>
      </w:r>
      <w:r w:rsidRPr="001A3653">
        <w:rPr>
          <w:rFonts w:eastAsia="Batang"/>
          <w:sz w:val="22"/>
          <w:szCs w:val="22"/>
        </w:rPr>
        <w:t xml:space="preserve">to develop the River Nile in a cooperative manner, share substantial socio-economic </w:t>
      </w:r>
      <w:r w:rsidRPr="001A3653">
        <w:rPr>
          <w:rFonts w:eastAsia="Batang"/>
          <w:sz w:val="22"/>
          <w:szCs w:val="22"/>
        </w:rPr>
        <w:lastRenderedPageBreak/>
        <w:t xml:space="preserve">benefits and promote regional peace and security. </w:t>
      </w:r>
      <w:r w:rsidR="00BF3AE7">
        <w:rPr>
          <w:rFonts w:eastAsia="Batang"/>
          <w:sz w:val="22"/>
          <w:szCs w:val="22"/>
        </w:rPr>
        <w:t>NBI Member States are</w:t>
      </w:r>
      <w:r w:rsidRPr="001A3653">
        <w:rPr>
          <w:rFonts w:eastAsia="Batang"/>
          <w:sz w:val="22"/>
          <w:szCs w:val="22"/>
        </w:rPr>
        <w:t xml:space="preserve"> </w:t>
      </w:r>
      <w:r w:rsidR="00BF3AE7">
        <w:rPr>
          <w:rFonts w:eastAsia="Batang"/>
          <w:sz w:val="22"/>
          <w:szCs w:val="22"/>
        </w:rPr>
        <w:t xml:space="preserve">10 </w:t>
      </w:r>
      <w:r w:rsidRPr="001A3653">
        <w:rPr>
          <w:rFonts w:eastAsia="Batang"/>
          <w:bCs/>
          <w:sz w:val="22"/>
          <w:szCs w:val="22"/>
        </w:rPr>
        <w:t>namely Burundi, DR Congo, Egypt, Ethiopia, Kenya, Rwanda, South Sudan, Sudan, Tanzania, and Uganda</w:t>
      </w:r>
      <w:r w:rsidRPr="001A3653">
        <w:rPr>
          <w:rFonts w:eastAsia="Batang"/>
          <w:sz w:val="22"/>
          <w:szCs w:val="22"/>
        </w:rPr>
        <w:t>. Eritrea participates as an observer.</w:t>
      </w:r>
      <w:r w:rsidRPr="001A3653">
        <w:rPr>
          <w:sz w:val="22"/>
          <w:szCs w:val="22"/>
        </w:rPr>
        <w:t xml:space="preserve"> </w:t>
      </w:r>
    </w:p>
    <w:p w:rsidR="0026668A" w:rsidRPr="001A3653" w:rsidRDefault="0026668A" w:rsidP="005B79E9">
      <w:pPr>
        <w:jc w:val="both"/>
        <w:rPr>
          <w:rFonts w:eastAsia="Batang"/>
          <w:sz w:val="22"/>
          <w:szCs w:val="22"/>
        </w:rPr>
      </w:pPr>
    </w:p>
    <w:p w:rsidR="00116E4A" w:rsidRPr="001A3653" w:rsidRDefault="005B79E9" w:rsidP="00116E4A">
      <w:pPr>
        <w:jc w:val="both"/>
        <w:rPr>
          <w:rFonts w:eastAsia="Batang"/>
          <w:sz w:val="22"/>
          <w:szCs w:val="22"/>
        </w:rPr>
      </w:pPr>
      <w:r w:rsidRPr="001A3653">
        <w:rPr>
          <w:rFonts w:eastAsia="Batang"/>
          <w:sz w:val="22"/>
          <w:szCs w:val="22"/>
        </w:rPr>
        <w:t xml:space="preserve">The partnership is guided by a </w:t>
      </w:r>
      <w:r w:rsidRPr="001A3653">
        <w:rPr>
          <w:rFonts w:eastAsia="Batang"/>
          <w:b/>
          <w:sz w:val="22"/>
          <w:szCs w:val="22"/>
        </w:rPr>
        <w:t>Shared Vision: ‘</w:t>
      </w:r>
      <w:r w:rsidRPr="001A3653">
        <w:rPr>
          <w:rFonts w:eastAsia="Batang"/>
          <w:i/>
          <w:iCs/>
          <w:sz w:val="22"/>
          <w:szCs w:val="22"/>
        </w:rPr>
        <w:t>To achieve sustainable socio-economic development through equitable utilization of, and benefit from, the common Nile Basin Water resources’</w:t>
      </w:r>
      <w:r w:rsidRPr="001A3653">
        <w:rPr>
          <w:rFonts w:eastAsia="Batang"/>
          <w:sz w:val="22"/>
          <w:szCs w:val="22"/>
        </w:rPr>
        <w:t xml:space="preserve">. </w:t>
      </w:r>
    </w:p>
    <w:p w:rsidR="00805F2E" w:rsidRPr="001A3653" w:rsidRDefault="00805F2E" w:rsidP="00116E4A">
      <w:pPr>
        <w:jc w:val="both"/>
        <w:rPr>
          <w:rFonts w:eastAsia="Batang"/>
          <w:sz w:val="22"/>
          <w:szCs w:val="22"/>
        </w:rPr>
      </w:pPr>
    </w:p>
    <w:p w:rsidR="00235C5A" w:rsidRPr="001A3653" w:rsidRDefault="00235C5A" w:rsidP="00235C5A">
      <w:pPr>
        <w:jc w:val="both"/>
        <w:rPr>
          <w:rFonts w:eastAsia="Batang"/>
          <w:sz w:val="22"/>
          <w:szCs w:val="22"/>
        </w:rPr>
      </w:pPr>
      <w:r w:rsidRPr="001A3653">
        <w:rPr>
          <w:sz w:val="22"/>
          <w:szCs w:val="22"/>
        </w:rPr>
        <w:t xml:space="preserve">The set up of NBI is informed by the principle of subsidiarity, hence the three NBI Centers: </w:t>
      </w:r>
      <w:r w:rsidRPr="001A3653">
        <w:rPr>
          <w:rFonts w:eastAsia="Batang"/>
          <w:b/>
          <w:sz w:val="22"/>
          <w:szCs w:val="22"/>
        </w:rPr>
        <w:t xml:space="preserve">A regional Secretariat </w:t>
      </w:r>
      <w:r w:rsidRPr="001A3653">
        <w:rPr>
          <w:rFonts w:eastAsia="Batang"/>
          <w:sz w:val="22"/>
          <w:szCs w:val="22"/>
        </w:rPr>
        <w:t xml:space="preserve">(Nile-SEC) based in Entebbe, Uganda is the executive arm responsible for the overall corporate direction. </w:t>
      </w:r>
      <w:r w:rsidRPr="001A3653">
        <w:rPr>
          <w:sz w:val="22"/>
          <w:szCs w:val="22"/>
        </w:rPr>
        <w:t xml:space="preserve">Two subsidiary Action Programs namely the </w:t>
      </w:r>
      <w:r w:rsidRPr="001A3653">
        <w:rPr>
          <w:b/>
          <w:iCs/>
          <w:sz w:val="22"/>
          <w:szCs w:val="22"/>
        </w:rPr>
        <w:t>Eastern Nile Technical Regional Office</w:t>
      </w:r>
      <w:r w:rsidRPr="001A3653">
        <w:rPr>
          <w:iCs/>
          <w:sz w:val="22"/>
          <w:szCs w:val="22"/>
        </w:rPr>
        <w:t xml:space="preserve"> (ENTRO)</w:t>
      </w:r>
      <w:r w:rsidRPr="001A3653">
        <w:rPr>
          <w:sz w:val="22"/>
          <w:szCs w:val="22"/>
        </w:rPr>
        <w:t xml:space="preserve"> based in Addis Ababa, Ethiopia and the </w:t>
      </w:r>
      <w:r w:rsidRPr="001A3653">
        <w:rPr>
          <w:b/>
          <w:iCs/>
          <w:sz w:val="22"/>
          <w:szCs w:val="22"/>
        </w:rPr>
        <w:t>Nile Equatorial Lakes Subsidiary Action Program Coordination Unit</w:t>
      </w:r>
      <w:r w:rsidRPr="001A3653">
        <w:rPr>
          <w:iCs/>
          <w:sz w:val="22"/>
          <w:szCs w:val="22"/>
        </w:rPr>
        <w:t xml:space="preserve"> (NELSAP-CU)</w:t>
      </w:r>
      <w:r w:rsidRPr="001A3653">
        <w:rPr>
          <w:sz w:val="22"/>
          <w:szCs w:val="22"/>
        </w:rPr>
        <w:t xml:space="preserve"> based in Kigali, Rwanda are responsible for preparing </w:t>
      </w:r>
      <w:r w:rsidR="001A3653" w:rsidRPr="001A3653">
        <w:rPr>
          <w:sz w:val="22"/>
          <w:szCs w:val="22"/>
        </w:rPr>
        <w:t xml:space="preserve">trans- boundary </w:t>
      </w:r>
      <w:r w:rsidRPr="001A3653">
        <w:rPr>
          <w:sz w:val="22"/>
          <w:szCs w:val="22"/>
        </w:rPr>
        <w:t xml:space="preserve">investment projects in three areas namely Energy, Agriculture and River Basin Management. </w:t>
      </w:r>
    </w:p>
    <w:p w:rsidR="00235C5A" w:rsidRPr="001A3653" w:rsidRDefault="00235C5A" w:rsidP="00116E4A">
      <w:pPr>
        <w:jc w:val="both"/>
        <w:rPr>
          <w:rFonts w:eastAsia="Batang"/>
          <w:sz w:val="22"/>
          <w:szCs w:val="22"/>
        </w:rPr>
      </w:pPr>
    </w:p>
    <w:p w:rsidR="00235C5A" w:rsidRPr="001A3653" w:rsidRDefault="00235C5A" w:rsidP="00116E4A">
      <w:pPr>
        <w:jc w:val="both"/>
        <w:rPr>
          <w:rFonts w:eastAsia="Batang"/>
          <w:sz w:val="22"/>
          <w:szCs w:val="22"/>
        </w:rPr>
      </w:pPr>
    </w:p>
    <w:p w:rsidR="005B79E9" w:rsidRPr="00AC299F" w:rsidRDefault="005B79E9" w:rsidP="0028689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79E9" w:rsidRPr="00AC299F" w:rsidRDefault="005B79E9" w:rsidP="0028689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79E9" w:rsidRPr="00AC299F" w:rsidRDefault="005B79E9" w:rsidP="0028689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86891" w:rsidRDefault="00286891"/>
    <w:sectPr w:rsidR="00286891" w:rsidSect="00CF007B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9B" w:rsidRDefault="009C7E9B">
      <w:r>
        <w:separator/>
      </w:r>
    </w:p>
  </w:endnote>
  <w:endnote w:type="continuationSeparator" w:id="0">
    <w:p w:rsidR="009C7E9B" w:rsidRDefault="009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state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64" w:rsidRDefault="00371DC2" w:rsidP="002868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58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864" w:rsidRDefault="00405864" w:rsidP="002868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64" w:rsidRDefault="00371DC2" w:rsidP="002868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58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214">
      <w:rPr>
        <w:rStyle w:val="PageNumber"/>
        <w:noProof/>
      </w:rPr>
      <w:t>1</w:t>
    </w:r>
    <w:r>
      <w:rPr>
        <w:rStyle w:val="PageNumber"/>
      </w:rPr>
      <w:fldChar w:fldCharType="end"/>
    </w:r>
  </w:p>
  <w:p w:rsidR="00405864" w:rsidRPr="00A40495" w:rsidRDefault="00405864" w:rsidP="00286891">
    <w:pPr>
      <w:pStyle w:val="Footer"/>
      <w:ind w:right="360"/>
      <w:rPr>
        <w:rFonts w:ascii="Book Antiqua" w:hAnsi="Book Antiqu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9B" w:rsidRDefault="009C7E9B">
      <w:r>
        <w:separator/>
      </w:r>
    </w:p>
  </w:footnote>
  <w:footnote w:type="continuationSeparator" w:id="0">
    <w:p w:rsidR="009C7E9B" w:rsidRDefault="009C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7693"/>
    <w:multiLevelType w:val="hybridMultilevel"/>
    <w:tmpl w:val="8C226B0E"/>
    <w:lvl w:ilvl="0" w:tplc="5C4407A0">
      <w:numFmt w:val="bullet"/>
      <w:lvlText w:val="•"/>
      <w:lvlJc w:val="left"/>
      <w:pPr>
        <w:ind w:left="1440" w:hanging="360"/>
      </w:pPr>
      <w:rPr>
        <w:rFonts w:ascii="Interstate-LightCond" w:eastAsia="Times New Roman" w:hAnsi="Interstate-LightCond" w:cs="Interstate-LightC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464B6F"/>
    <w:multiLevelType w:val="hybridMultilevel"/>
    <w:tmpl w:val="42CCF31C"/>
    <w:lvl w:ilvl="0" w:tplc="7E90C0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8AF"/>
    <w:multiLevelType w:val="hybridMultilevel"/>
    <w:tmpl w:val="EA14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1"/>
    <w:rsid w:val="00016B48"/>
    <w:rsid w:val="00031250"/>
    <w:rsid w:val="00053DE6"/>
    <w:rsid w:val="0006152A"/>
    <w:rsid w:val="00086840"/>
    <w:rsid w:val="000878B4"/>
    <w:rsid w:val="000C397A"/>
    <w:rsid w:val="000E11E6"/>
    <w:rsid w:val="00103B1E"/>
    <w:rsid w:val="00106AAC"/>
    <w:rsid w:val="00110F51"/>
    <w:rsid w:val="00116E4A"/>
    <w:rsid w:val="001A3653"/>
    <w:rsid w:val="001B67CA"/>
    <w:rsid w:val="001C7552"/>
    <w:rsid w:val="001E7652"/>
    <w:rsid w:val="00225148"/>
    <w:rsid w:val="00235C5A"/>
    <w:rsid w:val="0026668A"/>
    <w:rsid w:val="00286891"/>
    <w:rsid w:val="00292972"/>
    <w:rsid w:val="00297436"/>
    <w:rsid w:val="002F3056"/>
    <w:rsid w:val="002F70F2"/>
    <w:rsid w:val="00330A6E"/>
    <w:rsid w:val="00330C20"/>
    <w:rsid w:val="0033668C"/>
    <w:rsid w:val="00371DC2"/>
    <w:rsid w:val="00405864"/>
    <w:rsid w:val="004337CA"/>
    <w:rsid w:val="004D574F"/>
    <w:rsid w:val="0050579C"/>
    <w:rsid w:val="00513375"/>
    <w:rsid w:val="00530BC3"/>
    <w:rsid w:val="005357D0"/>
    <w:rsid w:val="0053614F"/>
    <w:rsid w:val="00564CC0"/>
    <w:rsid w:val="005B79E9"/>
    <w:rsid w:val="005C11FA"/>
    <w:rsid w:val="005D676E"/>
    <w:rsid w:val="005D6FAC"/>
    <w:rsid w:val="005F616F"/>
    <w:rsid w:val="005F6AC1"/>
    <w:rsid w:val="006634CA"/>
    <w:rsid w:val="00673646"/>
    <w:rsid w:val="006968B6"/>
    <w:rsid w:val="006A382D"/>
    <w:rsid w:val="006B18DD"/>
    <w:rsid w:val="006B2DCB"/>
    <w:rsid w:val="006C5816"/>
    <w:rsid w:val="00725D7E"/>
    <w:rsid w:val="00726230"/>
    <w:rsid w:val="00733B9D"/>
    <w:rsid w:val="00736958"/>
    <w:rsid w:val="007639C2"/>
    <w:rsid w:val="00792F60"/>
    <w:rsid w:val="007A4447"/>
    <w:rsid w:val="007A55A0"/>
    <w:rsid w:val="007B68E0"/>
    <w:rsid w:val="007D3AAF"/>
    <w:rsid w:val="00805F2E"/>
    <w:rsid w:val="00811BBD"/>
    <w:rsid w:val="008259DC"/>
    <w:rsid w:val="008311C7"/>
    <w:rsid w:val="00834FC4"/>
    <w:rsid w:val="00870E88"/>
    <w:rsid w:val="00887DC8"/>
    <w:rsid w:val="008B792B"/>
    <w:rsid w:val="008E5F85"/>
    <w:rsid w:val="00936FFA"/>
    <w:rsid w:val="009550DB"/>
    <w:rsid w:val="00980BAC"/>
    <w:rsid w:val="00994C56"/>
    <w:rsid w:val="009B2214"/>
    <w:rsid w:val="009C02F1"/>
    <w:rsid w:val="009C7E9B"/>
    <w:rsid w:val="009F2C6B"/>
    <w:rsid w:val="00A12AC9"/>
    <w:rsid w:val="00A12B5F"/>
    <w:rsid w:val="00A53138"/>
    <w:rsid w:val="00AB6C42"/>
    <w:rsid w:val="00AC299F"/>
    <w:rsid w:val="00AE61FE"/>
    <w:rsid w:val="00B65648"/>
    <w:rsid w:val="00B73C08"/>
    <w:rsid w:val="00B877AC"/>
    <w:rsid w:val="00B948AA"/>
    <w:rsid w:val="00B95316"/>
    <w:rsid w:val="00BC5E26"/>
    <w:rsid w:val="00BD1141"/>
    <w:rsid w:val="00BE0881"/>
    <w:rsid w:val="00BF3AE7"/>
    <w:rsid w:val="00C11782"/>
    <w:rsid w:val="00C4240D"/>
    <w:rsid w:val="00C868F3"/>
    <w:rsid w:val="00CA049F"/>
    <w:rsid w:val="00CA163C"/>
    <w:rsid w:val="00CE0A9A"/>
    <w:rsid w:val="00CF007B"/>
    <w:rsid w:val="00D255FC"/>
    <w:rsid w:val="00D261CC"/>
    <w:rsid w:val="00D35481"/>
    <w:rsid w:val="00D5393A"/>
    <w:rsid w:val="00D84E43"/>
    <w:rsid w:val="00D944B5"/>
    <w:rsid w:val="00DA50C0"/>
    <w:rsid w:val="00DF0306"/>
    <w:rsid w:val="00E16B4B"/>
    <w:rsid w:val="00E42DB0"/>
    <w:rsid w:val="00E9225E"/>
    <w:rsid w:val="00E92FA4"/>
    <w:rsid w:val="00E96F31"/>
    <w:rsid w:val="00EA687B"/>
    <w:rsid w:val="00EC270B"/>
    <w:rsid w:val="00EC6CF7"/>
    <w:rsid w:val="00ED54F4"/>
    <w:rsid w:val="00EF1830"/>
    <w:rsid w:val="00F0257E"/>
    <w:rsid w:val="00F2168D"/>
    <w:rsid w:val="00F2791B"/>
    <w:rsid w:val="00F8410E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08974CA-C3FA-4066-ACC2-B34CAFD0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91"/>
    <w:rPr>
      <w:sz w:val="24"/>
      <w:szCs w:val="24"/>
    </w:rPr>
  </w:style>
  <w:style w:type="paragraph" w:styleId="Heading1">
    <w:name w:val="heading 1"/>
    <w:basedOn w:val="Normal"/>
    <w:next w:val="Normal"/>
    <w:qFormat/>
    <w:rsid w:val="00286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286891"/>
    <w:pPr>
      <w:spacing w:before="100" w:beforeAutospacing="1" w:after="100" w:afterAutospacing="1"/>
      <w:outlineLvl w:val="1"/>
    </w:pPr>
    <w:rPr>
      <w:b/>
      <w:bCs/>
      <w:color w:val="00006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6891"/>
    <w:rPr>
      <w:color w:val="660099"/>
      <w:u w:val="single"/>
    </w:rPr>
  </w:style>
  <w:style w:type="paragraph" w:styleId="NormalWeb">
    <w:name w:val="Normal (Web)"/>
    <w:basedOn w:val="Normal"/>
    <w:rsid w:val="00286891"/>
    <w:pPr>
      <w:spacing w:before="100" w:beforeAutospacing="1" w:after="100" w:afterAutospacing="1"/>
    </w:pPr>
    <w:rPr>
      <w:color w:val="000066"/>
    </w:rPr>
  </w:style>
  <w:style w:type="character" w:customStyle="1" w:styleId="setbodysmall">
    <w:name w:val="setbodysmall"/>
    <w:basedOn w:val="DefaultParagraphFont"/>
    <w:rsid w:val="00286891"/>
  </w:style>
  <w:style w:type="paragraph" w:styleId="Footer">
    <w:name w:val="footer"/>
    <w:basedOn w:val="Normal"/>
    <w:rsid w:val="0028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891"/>
  </w:style>
  <w:style w:type="paragraph" w:customStyle="1" w:styleId="CarCar">
    <w:name w:val="Car Car"/>
    <w:basedOn w:val="Normal"/>
    <w:rsid w:val="00286891"/>
    <w:pPr>
      <w:spacing w:after="160" w:line="240" w:lineRule="exact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F2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68D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980BAC"/>
    <w:rPr>
      <w:b/>
      <w:bCs/>
    </w:rPr>
  </w:style>
  <w:style w:type="paragraph" w:customStyle="1" w:styleId="NormalParagraphStyle">
    <w:name w:val="NormalParagraphStyle"/>
    <w:basedOn w:val="Normal"/>
    <w:uiPriority w:val="99"/>
    <w:rsid w:val="00235C5A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isec@nilebasi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ilebas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Links>
    <vt:vector size="6" baseType="variant">
      <vt:variant>
        <vt:i4>7143503</vt:i4>
      </vt:variant>
      <vt:variant>
        <vt:i4>3</vt:i4>
      </vt:variant>
      <vt:variant>
        <vt:i4>0</vt:i4>
      </vt:variant>
      <vt:variant>
        <vt:i4>5</vt:i4>
      </vt:variant>
      <vt:variant>
        <vt:lpwstr>mailto:dmassamba@nilebasin.org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nbi</dc:creator>
  <cp:lastModifiedBy>Administrator</cp:lastModifiedBy>
  <cp:revision>2</cp:revision>
  <cp:lastPrinted>2014-06-11T06:33:00Z</cp:lastPrinted>
  <dcterms:created xsi:type="dcterms:W3CDTF">2014-06-18T03:25:00Z</dcterms:created>
  <dcterms:modified xsi:type="dcterms:W3CDTF">2014-06-18T03:25:00Z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