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062" w:type="pct"/>
        <w:tblCellSpacing w:w="15" w:type="dxa"/>
        <w:tblInd w:w="-7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062"/>
        <w:gridCol w:w="9541"/>
      </w:tblGrid>
      <w:tr w:rsidR="00286891" w:rsidRPr="00DD34DD">
        <w:trPr>
          <w:trHeight w:val="2085"/>
          <w:tblCellSpacing w:w="15" w:type="dxa"/>
        </w:trPr>
        <w:tc>
          <w:tcPr>
            <w:tcW w:w="869" w:type="pct"/>
            <w:tcBorders>
              <w:top w:val="outset" w:sz="6" w:space="0" w:color="auto"/>
              <w:left w:val="outset" w:sz="6" w:space="0" w:color="auto"/>
              <w:bottom w:val="outset" w:sz="6" w:space="0" w:color="auto"/>
              <w:right w:val="outset" w:sz="6" w:space="0" w:color="auto"/>
            </w:tcBorders>
            <w:vAlign w:val="center"/>
          </w:tcPr>
          <w:p w:rsidR="00286891" w:rsidRPr="00DD34DD" w:rsidRDefault="007B68E0" w:rsidP="00286891">
            <w:pPr>
              <w:rPr>
                <w:color w:val="000066"/>
              </w:rPr>
            </w:pPr>
            <w:r>
              <w:rPr>
                <w:noProof/>
                <w:color w:val="000066"/>
              </w:rPr>
              <w:drawing>
                <wp:inline distT="0" distB="0" distL="0" distR="0">
                  <wp:extent cx="990600" cy="1219200"/>
                  <wp:effectExtent l="19050" t="0" r="0" b="0"/>
                  <wp:docPr id="1" name="Picture 1" descr="press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1"/>
                          <pic:cNvPicPr>
                            <a:picLocks noChangeAspect="1" noChangeArrowheads="1"/>
                          </pic:cNvPicPr>
                        </pic:nvPicPr>
                        <pic:blipFill>
                          <a:blip r:embed="rId7" cstate="print"/>
                          <a:srcRect/>
                          <a:stretch>
                            <a:fillRect/>
                          </a:stretch>
                        </pic:blipFill>
                        <pic:spPr bwMode="auto">
                          <a:xfrm>
                            <a:off x="0" y="0"/>
                            <a:ext cx="990600" cy="1219200"/>
                          </a:xfrm>
                          <a:prstGeom prst="rect">
                            <a:avLst/>
                          </a:prstGeom>
                          <a:noFill/>
                          <a:ln w="9525">
                            <a:noFill/>
                            <a:miter lim="800000"/>
                            <a:headEnd/>
                            <a:tailEnd/>
                          </a:ln>
                        </pic:spPr>
                      </pic:pic>
                    </a:graphicData>
                  </a:graphic>
                </wp:inline>
              </w:drawing>
            </w:r>
          </w:p>
        </w:tc>
        <w:tc>
          <w:tcPr>
            <w:tcW w:w="4089" w:type="pct"/>
            <w:tcBorders>
              <w:top w:val="outset" w:sz="6" w:space="0" w:color="auto"/>
              <w:left w:val="outset" w:sz="6" w:space="0" w:color="auto"/>
              <w:bottom w:val="outset" w:sz="6" w:space="0" w:color="auto"/>
              <w:right w:val="outset" w:sz="6" w:space="0" w:color="auto"/>
            </w:tcBorders>
            <w:vAlign w:val="center"/>
          </w:tcPr>
          <w:p w:rsidR="00286891" w:rsidRPr="00DD34DD" w:rsidRDefault="00286891" w:rsidP="00286891">
            <w:pPr>
              <w:spacing w:before="100" w:beforeAutospacing="1" w:after="100" w:afterAutospacing="1"/>
              <w:jc w:val="center"/>
              <w:outlineLvl w:val="1"/>
              <w:rPr>
                <w:b/>
                <w:bCs/>
              </w:rPr>
            </w:pPr>
            <w:smartTag w:uri="urn:schemas-microsoft-com:office:smarttags" w:element="place">
              <w:r w:rsidRPr="00DD34DD">
                <w:rPr>
                  <w:b/>
                  <w:bCs/>
                </w:rPr>
                <w:t>NILE</w:t>
              </w:r>
            </w:smartTag>
            <w:r w:rsidRPr="00DD34DD">
              <w:rPr>
                <w:b/>
                <w:bCs/>
              </w:rPr>
              <w:t xml:space="preserve"> BASIN INITIATIVE </w:t>
            </w:r>
          </w:p>
          <w:p w:rsidR="00286891" w:rsidRPr="00DD34DD" w:rsidRDefault="005D6FAC" w:rsidP="00286891">
            <w:pPr>
              <w:jc w:val="center"/>
              <w:rPr>
                <w:i/>
              </w:rPr>
            </w:pPr>
            <w:r>
              <w:rPr>
                <w:i/>
              </w:rPr>
              <w:t>To achieve</w:t>
            </w:r>
            <w:r w:rsidR="00286891" w:rsidRPr="00DD34DD">
              <w:rPr>
                <w:i/>
              </w:rPr>
              <w:t xml:space="preserve"> sustainable socio</w:t>
            </w:r>
            <w:r w:rsidR="000E11E6">
              <w:rPr>
                <w:i/>
              </w:rPr>
              <w:t>-</w:t>
            </w:r>
            <w:r w:rsidR="00286891" w:rsidRPr="00DD34DD">
              <w:rPr>
                <w:i/>
              </w:rPr>
              <w:t>economic development</w:t>
            </w:r>
          </w:p>
          <w:p w:rsidR="00286891" w:rsidRDefault="00286891" w:rsidP="00286891">
            <w:pPr>
              <w:jc w:val="center"/>
              <w:rPr>
                <w:i/>
              </w:rPr>
            </w:pPr>
            <w:r w:rsidRPr="00DD34DD">
              <w:rPr>
                <w:i/>
              </w:rPr>
              <w:t xml:space="preserve">through the equitable utilization </w:t>
            </w:r>
            <w:r w:rsidR="000E11E6">
              <w:rPr>
                <w:i/>
              </w:rPr>
              <w:t xml:space="preserve">of </w:t>
            </w:r>
            <w:r w:rsidRPr="00DD34DD">
              <w:rPr>
                <w:i/>
              </w:rPr>
              <w:t xml:space="preserve">and benefit from </w:t>
            </w:r>
            <w:smartTag w:uri="urn:schemas-microsoft-com:office:smarttags" w:element="place">
              <w:smartTag w:uri="urn:schemas-microsoft-com:office:smarttags" w:element="PlaceName">
                <w:r w:rsidRPr="00DD34DD">
                  <w:rPr>
                    <w:i/>
                  </w:rPr>
                  <w:t>Nile</w:t>
                </w:r>
              </w:smartTag>
              <w:r w:rsidRPr="00DD34DD">
                <w:rPr>
                  <w:i/>
                </w:rPr>
                <w:t xml:space="preserve"> </w:t>
              </w:r>
              <w:smartTag w:uri="urn:schemas-microsoft-com:office:smarttags" w:element="PlaceType">
                <w:r w:rsidRPr="00DD34DD">
                  <w:rPr>
                    <w:i/>
                  </w:rPr>
                  <w:t>Basin</w:t>
                </w:r>
              </w:smartTag>
            </w:smartTag>
            <w:r w:rsidRPr="00DD34DD">
              <w:rPr>
                <w:i/>
              </w:rPr>
              <w:t xml:space="preserve"> water resources</w:t>
            </w:r>
          </w:p>
          <w:p w:rsidR="00C33259" w:rsidRDefault="00C33259" w:rsidP="00286891">
            <w:pPr>
              <w:jc w:val="center"/>
              <w:rPr>
                <w:i/>
              </w:rPr>
            </w:pPr>
          </w:p>
          <w:p w:rsidR="00C33259" w:rsidRPr="005500B1" w:rsidRDefault="00C33259" w:rsidP="00C33259">
            <w:pPr>
              <w:rPr>
                <w:rFonts w:ascii="Calibri" w:hAnsi="Calibri"/>
                <w:b/>
              </w:rPr>
            </w:pPr>
            <w:r w:rsidRPr="005500B1">
              <w:rPr>
                <w:rFonts w:ascii="Calibri" w:hAnsi="Calibri"/>
                <w:b/>
              </w:rPr>
              <w:t>Contacts:</w:t>
            </w:r>
            <w:r>
              <w:rPr>
                <w:rFonts w:ascii="Calibri" w:hAnsi="Calibri"/>
                <w:b/>
              </w:rPr>
              <w:t xml:space="preserve"> </w:t>
            </w:r>
            <w:r w:rsidRPr="005500B1">
              <w:rPr>
                <w:rFonts w:ascii="Calibri" w:hAnsi="Calibri"/>
              </w:rPr>
              <w:t>P.O Box 192</w:t>
            </w:r>
            <w:r>
              <w:rPr>
                <w:rFonts w:ascii="Calibri" w:hAnsi="Calibri"/>
                <w:b/>
              </w:rPr>
              <w:t xml:space="preserve">, </w:t>
            </w:r>
            <w:r w:rsidRPr="005500B1">
              <w:rPr>
                <w:rFonts w:ascii="Calibri" w:hAnsi="Calibri"/>
              </w:rPr>
              <w:t>Entebbe- Uganda</w:t>
            </w:r>
            <w:r>
              <w:rPr>
                <w:rFonts w:ascii="Calibri" w:hAnsi="Calibri"/>
                <w:b/>
              </w:rPr>
              <w:t>; Tel</w:t>
            </w:r>
            <w:r w:rsidRPr="005500B1">
              <w:rPr>
                <w:rFonts w:ascii="Calibri" w:hAnsi="Calibri"/>
              </w:rPr>
              <w:t>+256 (414) 321 424</w:t>
            </w:r>
            <w:r>
              <w:rPr>
                <w:rFonts w:ascii="Calibri" w:hAnsi="Calibri"/>
                <w:b/>
              </w:rPr>
              <w:t>/</w:t>
            </w:r>
            <w:r w:rsidRPr="005500B1">
              <w:rPr>
                <w:rFonts w:ascii="Calibri" w:hAnsi="Calibri"/>
              </w:rPr>
              <w:t>+256 (414)321 329</w:t>
            </w:r>
          </w:p>
          <w:p w:rsidR="00C33259" w:rsidRPr="005500B1" w:rsidRDefault="00C33259" w:rsidP="00C33259">
            <w:pPr>
              <w:jc w:val="center"/>
              <w:rPr>
                <w:rFonts w:ascii="Calibri" w:hAnsi="Calibri"/>
              </w:rPr>
            </w:pPr>
            <w:r w:rsidRPr="008E5F85">
              <w:rPr>
                <w:rFonts w:ascii="Calibri" w:hAnsi="Calibri"/>
                <w:b/>
              </w:rPr>
              <w:t>Email</w:t>
            </w:r>
            <w:r w:rsidRPr="005500B1">
              <w:rPr>
                <w:rFonts w:ascii="Calibri" w:hAnsi="Calibri"/>
              </w:rPr>
              <w:t xml:space="preserve">: </w:t>
            </w:r>
            <w:hyperlink r:id="rId8" w:history="1">
              <w:r w:rsidRPr="005500B1">
                <w:rPr>
                  <w:rStyle w:val="Hyperlink"/>
                  <w:rFonts w:ascii="Calibri" w:hAnsi="Calibri"/>
                </w:rPr>
                <w:t>nbisec@nilebasin.org</w:t>
              </w:r>
            </w:hyperlink>
          </w:p>
          <w:p w:rsidR="00C33259" w:rsidRPr="005500B1" w:rsidRDefault="00C33259" w:rsidP="00C33259">
            <w:pPr>
              <w:jc w:val="center"/>
              <w:rPr>
                <w:rFonts w:ascii="Calibri" w:hAnsi="Calibri"/>
              </w:rPr>
            </w:pPr>
            <w:r w:rsidRPr="008E5F85">
              <w:rPr>
                <w:rFonts w:ascii="Calibri" w:hAnsi="Calibri"/>
                <w:b/>
              </w:rPr>
              <w:t>Website</w:t>
            </w:r>
            <w:r w:rsidRPr="005500B1">
              <w:rPr>
                <w:rFonts w:ascii="Calibri" w:hAnsi="Calibri"/>
              </w:rPr>
              <w:t xml:space="preserve">: </w:t>
            </w:r>
            <w:hyperlink r:id="rId9" w:history="1">
              <w:r w:rsidRPr="005500B1">
                <w:rPr>
                  <w:rStyle w:val="Hyperlink"/>
                  <w:rFonts w:ascii="Calibri" w:hAnsi="Calibri"/>
                </w:rPr>
                <w:t>www.nilebasin.org</w:t>
              </w:r>
            </w:hyperlink>
          </w:p>
          <w:p w:rsidR="00C33259" w:rsidRPr="00DD34DD" w:rsidRDefault="00C33259" w:rsidP="00286891">
            <w:pPr>
              <w:jc w:val="center"/>
            </w:pPr>
          </w:p>
        </w:tc>
      </w:tr>
    </w:tbl>
    <w:p w:rsidR="00286891" w:rsidRDefault="00286891" w:rsidP="00286891">
      <w:pPr>
        <w:pStyle w:val="Heading2"/>
        <w:jc w:val="center"/>
        <w:rPr>
          <w:color w:val="000000"/>
          <w:sz w:val="24"/>
          <w:szCs w:val="24"/>
        </w:rPr>
      </w:pPr>
    </w:p>
    <w:p w:rsidR="00286891" w:rsidRPr="00405864" w:rsidRDefault="00286891" w:rsidP="00286891">
      <w:pPr>
        <w:pStyle w:val="Heading2"/>
        <w:jc w:val="center"/>
        <w:rPr>
          <w:color w:val="000000"/>
          <w:sz w:val="22"/>
          <w:szCs w:val="22"/>
        </w:rPr>
      </w:pPr>
      <w:r w:rsidRPr="00405864">
        <w:rPr>
          <w:color w:val="000000"/>
          <w:sz w:val="22"/>
          <w:szCs w:val="22"/>
        </w:rPr>
        <w:t xml:space="preserve">PRESS RELEASE </w:t>
      </w:r>
    </w:p>
    <w:p w:rsidR="00286891" w:rsidRPr="00AC299F" w:rsidRDefault="00286891" w:rsidP="00286891">
      <w:pPr>
        <w:pStyle w:val="Heading2"/>
        <w:rPr>
          <w:b w:val="0"/>
          <w:color w:val="000000"/>
          <w:sz w:val="22"/>
          <w:szCs w:val="22"/>
        </w:rPr>
      </w:pPr>
      <w:r w:rsidRPr="00AC299F">
        <w:rPr>
          <w:b w:val="0"/>
          <w:color w:val="000000"/>
          <w:sz w:val="22"/>
          <w:szCs w:val="22"/>
        </w:rPr>
        <w:t>FOR IMMEDIATE RELEASE</w:t>
      </w:r>
    </w:p>
    <w:p w:rsidR="00286891" w:rsidRDefault="00C03D17" w:rsidP="00286891">
      <w:pPr>
        <w:pStyle w:val="Heading2"/>
        <w:rPr>
          <w:b w:val="0"/>
          <w:color w:val="000000"/>
          <w:sz w:val="22"/>
          <w:szCs w:val="22"/>
        </w:rPr>
      </w:pPr>
      <w:r>
        <w:rPr>
          <w:b w:val="0"/>
          <w:color w:val="000000"/>
          <w:sz w:val="22"/>
          <w:szCs w:val="22"/>
        </w:rPr>
        <w:t>30</w:t>
      </w:r>
      <w:r w:rsidR="002F70F2" w:rsidRPr="00AC299F">
        <w:rPr>
          <w:b w:val="0"/>
          <w:color w:val="000000"/>
          <w:sz w:val="22"/>
          <w:szCs w:val="22"/>
          <w:vertAlign w:val="superscript"/>
        </w:rPr>
        <w:t>th</w:t>
      </w:r>
      <w:r w:rsidR="002F70F2" w:rsidRPr="00AC299F">
        <w:rPr>
          <w:b w:val="0"/>
          <w:color w:val="000000"/>
          <w:sz w:val="22"/>
          <w:szCs w:val="22"/>
        </w:rPr>
        <w:t xml:space="preserve"> </w:t>
      </w:r>
      <w:r w:rsidR="0023022B">
        <w:rPr>
          <w:b w:val="0"/>
          <w:color w:val="000000"/>
          <w:sz w:val="22"/>
          <w:szCs w:val="22"/>
        </w:rPr>
        <w:t>October</w:t>
      </w:r>
      <w:r w:rsidR="002F70F2" w:rsidRPr="00AC299F">
        <w:rPr>
          <w:b w:val="0"/>
          <w:color w:val="000000"/>
          <w:sz w:val="22"/>
          <w:szCs w:val="22"/>
        </w:rPr>
        <w:t>, 2013</w:t>
      </w:r>
    </w:p>
    <w:p w:rsidR="00D30078" w:rsidRPr="0023022B" w:rsidRDefault="00D30078" w:rsidP="00D30078">
      <w:pPr>
        <w:jc w:val="both"/>
        <w:rPr>
          <w:rFonts w:ascii="Calibri" w:hAnsi="Calibri" w:cs="Calibri"/>
          <w:b/>
        </w:rPr>
      </w:pPr>
      <w:r>
        <w:rPr>
          <w:rFonts w:ascii="Calibri" w:hAnsi="Calibri" w:cs="Calibri"/>
          <w:b/>
        </w:rPr>
        <w:t xml:space="preserve">A call for a renewed commitment to invest in an all-inclusive Nile cooperation  </w:t>
      </w:r>
    </w:p>
    <w:p w:rsidR="004B3627" w:rsidRPr="0023022B" w:rsidRDefault="004B3627" w:rsidP="003F7DEE">
      <w:pPr>
        <w:jc w:val="both"/>
        <w:rPr>
          <w:rFonts w:ascii="Calibri" w:hAnsi="Calibri" w:cs="Calibri"/>
          <w:b/>
        </w:rPr>
      </w:pPr>
    </w:p>
    <w:p w:rsidR="002F5A71" w:rsidRDefault="002F7459" w:rsidP="002F7459">
      <w:pPr>
        <w:jc w:val="both"/>
        <w:rPr>
          <w:rFonts w:asciiTheme="minorHAnsi" w:hAnsiTheme="minorHAnsi" w:cstheme="minorHAnsi"/>
        </w:rPr>
      </w:pPr>
      <w:r>
        <w:rPr>
          <w:rFonts w:ascii="Calibri" w:hAnsi="Calibri" w:cs="Calibri"/>
          <w:b/>
        </w:rPr>
        <w:t>KIGALI</w:t>
      </w:r>
      <w:r w:rsidR="00C11782" w:rsidRPr="0023022B">
        <w:rPr>
          <w:rFonts w:ascii="Calibri" w:hAnsi="Calibri" w:cs="Calibri"/>
          <w:b/>
        </w:rPr>
        <w:t xml:space="preserve">, </w:t>
      </w:r>
      <w:r>
        <w:rPr>
          <w:rFonts w:ascii="Calibri" w:hAnsi="Calibri" w:cs="Calibri"/>
          <w:b/>
        </w:rPr>
        <w:t>Rwanda</w:t>
      </w:r>
      <w:r w:rsidR="00C11782" w:rsidRPr="0023022B">
        <w:rPr>
          <w:rFonts w:ascii="Calibri" w:hAnsi="Calibri" w:cs="Calibri"/>
          <w:b/>
        </w:rPr>
        <w:t xml:space="preserve"> –</w:t>
      </w:r>
      <w:r w:rsidRPr="002F7459">
        <w:rPr>
          <w:rFonts w:ascii="Calibri" w:hAnsi="Calibri" w:cs="Calibri"/>
        </w:rPr>
        <w:t xml:space="preserve"> </w:t>
      </w:r>
      <w:r w:rsidR="00D7415E" w:rsidRPr="00540244">
        <w:rPr>
          <w:rFonts w:asciiTheme="minorHAnsi" w:hAnsiTheme="minorHAnsi" w:cstheme="minorHAnsi"/>
        </w:rPr>
        <w:t>The 8</w:t>
      </w:r>
      <w:r w:rsidR="00D7415E" w:rsidRPr="00540244">
        <w:rPr>
          <w:rFonts w:asciiTheme="minorHAnsi" w:hAnsiTheme="minorHAnsi" w:cstheme="minorHAnsi"/>
          <w:vertAlign w:val="superscript"/>
        </w:rPr>
        <w:t>th</w:t>
      </w:r>
      <w:r w:rsidR="00D7415E" w:rsidRPr="00540244">
        <w:rPr>
          <w:rFonts w:asciiTheme="minorHAnsi" w:hAnsiTheme="minorHAnsi" w:cstheme="minorHAnsi"/>
        </w:rPr>
        <w:t xml:space="preserve"> Strategic Dialogue between the Nile Basin Initiative (NBI) and </w:t>
      </w:r>
      <w:r w:rsidR="00B65540" w:rsidRPr="00540244">
        <w:rPr>
          <w:rFonts w:asciiTheme="minorHAnsi" w:hAnsiTheme="minorHAnsi" w:cstheme="minorHAnsi"/>
        </w:rPr>
        <w:t>its</w:t>
      </w:r>
      <w:r w:rsidR="00D7415E" w:rsidRPr="00540244">
        <w:rPr>
          <w:rFonts w:asciiTheme="minorHAnsi" w:hAnsiTheme="minorHAnsi" w:cstheme="minorHAnsi"/>
        </w:rPr>
        <w:t xml:space="preserve"> primary donors ended </w:t>
      </w:r>
      <w:r w:rsidR="00C03D17">
        <w:rPr>
          <w:rFonts w:asciiTheme="minorHAnsi" w:hAnsiTheme="minorHAnsi" w:cstheme="minorHAnsi"/>
        </w:rPr>
        <w:t>yesterday</w:t>
      </w:r>
      <w:r w:rsidR="00D7415E" w:rsidRPr="00540244">
        <w:rPr>
          <w:rFonts w:asciiTheme="minorHAnsi" w:hAnsiTheme="minorHAnsi" w:cstheme="minorHAnsi"/>
        </w:rPr>
        <w:t xml:space="preserve"> with </w:t>
      </w:r>
      <w:r w:rsidR="00AF076F">
        <w:rPr>
          <w:rFonts w:asciiTheme="minorHAnsi" w:hAnsiTheme="minorHAnsi" w:cstheme="minorHAnsi"/>
        </w:rPr>
        <w:t>a</w:t>
      </w:r>
      <w:r w:rsidR="00D7415E" w:rsidRPr="00540244">
        <w:rPr>
          <w:rFonts w:asciiTheme="minorHAnsi" w:hAnsiTheme="minorHAnsi" w:cstheme="minorHAnsi"/>
        </w:rPr>
        <w:t xml:space="preserve"> call</w:t>
      </w:r>
      <w:r w:rsidR="00B4308D">
        <w:rPr>
          <w:rFonts w:asciiTheme="minorHAnsi" w:hAnsiTheme="minorHAnsi" w:cstheme="minorHAnsi"/>
        </w:rPr>
        <w:t xml:space="preserve"> from participants for a renewed commitment to invest in </w:t>
      </w:r>
      <w:r w:rsidR="00B86881">
        <w:rPr>
          <w:rFonts w:asciiTheme="minorHAnsi" w:hAnsiTheme="minorHAnsi" w:cstheme="minorHAnsi"/>
        </w:rPr>
        <w:t xml:space="preserve">an all-inclusive </w:t>
      </w:r>
      <w:r w:rsidR="00B4308D">
        <w:rPr>
          <w:rFonts w:asciiTheme="minorHAnsi" w:hAnsiTheme="minorHAnsi" w:cstheme="minorHAnsi"/>
        </w:rPr>
        <w:t xml:space="preserve">Nile cooperation and </w:t>
      </w:r>
      <w:r w:rsidR="00B86881">
        <w:rPr>
          <w:rFonts w:asciiTheme="minorHAnsi" w:hAnsiTheme="minorHAnsi" w:cstheme="minorHAnsi"/>
        </w:rPr>
        <w:t xml:space="preserve">to </w:t>
      </w:r>
      <w:r w:rsidR="00B4308D">
        <w:rPr>
          <w:rFonts w:asciiTheme="minorHAnsi" w:hAnsiTheme="minorHAnsi" w:cstheme="minorHAnsi"/>
        </w:rPr>
        <w:t xml:space="preserve">sustain the gains so far. </w:t>
      </w:r>
      <w:r w:rsidR="00D7415E" w:rsidRPr="00540244">
        <w:rPr>
          <w:rFonts w:asciiTheme="minorHAnsi" w:hAnsiTheme="minorHAnsi" w:cstheme="minorHAnsi"/>
        </w:rPr>
        <w:t xml:space="preserve"> </w:t>
      </w:r>
    </w:p>
    <w:p w:rsidR="00B86881" w:rsidRDefault="00B86881" w:rsidP="002F7459">
      <w:pPr>
        <w:jc w:val="both"/>
        <w:rPr>
          <w:rFonts w:asciiTheme="minorHAnsi" w:hAnsiTheme="minorHAnsi" w:cstheme="minorHAnsi"/>
        </w:rPr>
      </w:pPr>
    </w:p>
    <w:p w:rsidR="00B86881" w:rsidRDefault="00B86881" w:rsidP="002F7459">
      <w:pPr>
        <w:jc w:val="both"/>
        <w:rPr>
          <w:rFonts w:asciiTheme="minorHAnsi" w:hAnsiTheme="minorHAnsi" w:cstheme="minorHAnsi"/>
        </w:rPr>
      </w:pPr>
      <w:r>
        <w:rPr>
          <w:rFonts w:asciiTheme="minorHAnsi" w:hAnsiTheme="minorHAnsi" w:cstheme="minorHAnsi"/>
        </w:rPr>
        <w:t xml:space="preserve">The Chairperson of the Nile Council of Ministers who is also South Sudan’s Minister of Electricity, Water and Irrigation, Hon. </w:t>
      </w:r>
      <w:proofErr w:type="spellStart"/>
      <w:r>
        <w:rPr>
          <w:rFonts w:asciiTheme="minorHAnsi" w:hAnsiTheme="minorHAnsi" w:cstheme="minorHAnsi"/>
        </w:rPr>
        <w:t>Jemma</w:t>
      </w:r>
      <w:proofErr w:type="spellEnd"/>
      <w:r>
        <w:rPr>
          <w:rFonts w:asciiTheme="minorHAnsi" w:hAnsiTheme="minorHAnsi" w:cstheme="minorHAnsi"/>
        </w:rPr>
        <w:t xml:space="preserve"> </w:t>
      </w:r>
      <w:proofErr w:type="spellStart"/>
      <w:r>
        <w:rPr>
          <w:rFonts w:asciiTheme="minorHAnsi" w:hAnsiTheme="minorHAnsi" w:cstheme="minorHAnsi"/>
        </w:rPr>
        <w:t>Nunu</w:t>
      </w:r>
      <w:proofErr w:type="spellEnd"/>
      <w:r>
        <w:rPr>
          <w:rFonts w:asciiTheme="minorHAnsi" w:hAnsiTheme="minorHAnsi" w:cstheme="minorHAnsi"/>
        </w:rPr>
        <w:t xml:space="preserve"> </w:t>
      </w:r>
      <w:proofErr w:type="spellStart"/>
      <w:r>
        <w:rPr>
          <w:rFonts w:asciiTheme="minorHAnsi" w:hAnsiTheme="minorHAnsi" w:cstheme="minorHAnsi"/>
        </w:rPr>
        <w:t>Kumba</w:t>
      </w:r>
      <w:proofErr w:type="spellEnd"/>
      <w:r>
        <w:rPr>
          <w:rFonts w:asciiTheme="minorHAnsi" w:hAnsiTheme="minorHAnsi" w:cstheme="minorHAnsi"/>
        </w:rPr>
        <w:t xml:space="preserve"> noted that while NBI has achieved </w:t>
      </w:r>
      <w:r w:rsidR="008E6877">
        <w:rPr>
          <w:rFonts w:asciiTheme="minorHAnsi" w:hAnsiTheme="minorHAnsi" w:cstheme="minorHAnsi"/>
        </w:rPr>
        <w:t xml:space="preserve">a lot in the last 14 years, </w:t>
      </w:r>
      <w:r w:rsidR="00C03D17">
        <w:rPr>
          <w:rFonts w:asciiTheme="minorHAnsi" w:hAnsiTheme="minorHAnsi" w:cstheme="minorHAnsi"/>
        </w:rPr>
        <w:t>more</w:t>
      </w:r>
      <w:r w:rsidR="008E6877">
        <w:rPr>
          <w:rFonts w:asciiTheme="minorHAnsi" w:hAnsiTheme="minorHAnsi" w:cstheme="minorHAnsi"/>
        </w:rPr>
        <w:t xml:space="preserve"> still needs to be done to realize the Shared Vision.</w:t>
      </w:r>
      <w:r>
        <w:rPr>
          <w:rFonts w:asciiTheme="minorHAnsi" w:hAnsiTheme="minorHAnsi" w:cstheme="minorHAnsi"/>
        </w:rPr>
        <w:t xml:space="preserve"> </w:t>
      </w:r>
    </w:p>
    <w:p w:rsidR="00B4308D" w:rsidRPr="00540244" w:rsidRDefault="00B4308D" w:rsidP="002F7459">
      <w:pPr>
        <w:jc w:val="both"/>
        <w:rPr>
          <w:rFonts w:asciiTheme="minorHAnsi" w:hAnsiTheme="minorHAnsi" w:cstheme="minorHAnsi"/>
        </w:rPr>
      </w:pPr>
    </w:p>
    <w:p w:rsidR="00F96B08" w:rsidRDefault="00F96B08" w:rsidP="00F96B08">
      <w:pPr>
        <w:jc w:val="both"/>
        <w:rPr>
          <w:rFonts w:asciiTheme="minorHAnsi" w:hAnsiTheme="minorHAnsi" w:cstheme="minorHAnsi"/>
        </w:rPr>
      </w:pPr>
      <w:r>
        <w:rPr>
          <w:rFonts w:asciiTheme="minorHAnsi" w:hAnsiTheme="minorHAnsi" w:cstheme="minorHAnsi"/>
        </w:rPr>
        <w:t>Member States re-affirmed their commitment to and ownership of the Nile cooperative process</w:t>
      </w:r>
      <w:r w:rsidRPr="002B0FB8">
        <w:rPr>
          <w:rFonts w:asciiTheme="minorHAnsi" w:hAnsiTheme="minorHAnsi" w:cstheme="minorHAnsi"/>
        </w:rPr>
        <w:t xml:space="preserve"> </w:t>
      </w:r>
      <w:r>
        <w:rPr>
          <w:rFonts w:asciiTheme="minorHAnsi" w:hAnsiTheme="minorHAnsi" w:cstheme="minorHAnsi"/>
        </w:rPr>
        <w:t xml:space="preserve">and the sustainability of the NBI institutions. They called on Development partners to continue their unwavering support towards achieving the Member States’ development agenda. </w:t>
      </w:r>
    </w:p>
    <w:p w:rsidR="00F96B08" w:rsidRDefault="00F96B08" w:rsidP="00C25FEA">
      <w:pPr>
        <w:jc w:val="both"/>
        <w:rPr>
          <w:rFonts w:asciiTheme="minorHAnsi" w:hAnsiTheme="minorHAnsi" w:cstheme="minorHAnsi"/>
        </w:rPr>
      </w:pPr>
    </w:p>
    <w:p w:rsidR="00F96B08" w:rsidRPr="00540244" w:rsidRDefault="00F96B08" w:rsidP="00F96B08">
      <w:pPr>
        <w:jc w:val="both"/>
        <w:rPr>
          <w:rFonts w:asciiTheme="minorHAnsi" w:hAnsiTheme="minorHAnsi" w:cstheme="minorHAnsi"/>
        </w:rPr>
      </w:pPr>
      <w:r>
        <w:rPr>
          <w:rFonts w:asciiTheme="minorHAnsi" w:hAnsiTheme="minorHAnsi" w:cstheme="minorHAnsi"/>
        </w:rPr>
        <w:t xml:space="preserve">Development partners pledged to work with NBI to enhance the </w:t>
      </w:r>
      <w:r w:rsidR="00CA4F23" w:rsidRPr="00CA4F23">
        <w:rPr>
          <w:rFonts w:asciiTheme="minorHAnsi" w:hAnsiTheme="minorHAnsi" w:cstheme="minorHAnsi"/>
        </w:rPr>
        <w:t>institutional</w:t>
      </w:r>
      <w:r w:rsidR="00CA4F23" w:rsidRPr="00F96B08">
        <w:rPr>
          <w:rFonts w:asciiTheme="minorHAnsi" w:hAnsiTheme="minorHAnsi" w:cstheme="minorHAnsi"/>
          <w:color w:val="FF0000"/>
        </w:rPr>
        <w:t xml:space="preserve"> </w:t>
      </w:r>
      <w:r w:rsidR="00CA4F23">
        <w:rPr>
          <w:rFonts w:asciiTheme="minorHAnsi" w:hAnsiTheme="minorHAnsi" w:cstheme="minorHAnsi"/>
        </w:rPr>
        <w:t xml:space="preserve">and </w:t>
      </w:r>
      <w:r>
        <w:rPr>
          <w:rFonts w:asciiTheme="minorHAnsi" w:hAnsiTheme="minorHAnsi" w:cstheme="minorHAnsi"/>
        </w:rPr>
        <w:t xml:space="preserve">financial mechanisms necessary to </w:t>
      </w:r>
      <w:r w:rsidR="00CA4F23">
        <w:rPr>
          <w:rFonts w:asciiTheme="minorHAnsi" w:hAnsiTheme="minorHAnsi" w:cstheme="minorHAnsi"/>
        </w:rPr>
        <w:t>deepen the Nile cooperative</w:t>
      </w:r>
      <w:r>
        <w:rPr>
          <w:rFonts w:asciiTheme="minorHAnsi" w:hAnsiTheme="minorHAnsi" w:cstheme="minorHAnsi"/>
        </w:rPr>
        <w:t xml:space="preserve"> </w:t>
      </w:r>
      <w:r w:rsidR="00CA4F23">
        <w:rPr>
          <w:rFonts w:asciiTheme="minorHAnsi" w:hAnsiTheme="minorHAnsi" w:cstheme="minorHAnsi"/>
        </w:rPr>
        <w:t>process</w:t>
      </w:r>
      <w:r>
        <w:rPr>
          <w:rFonts w:asciiTheme="minorHAnsi" w:hAnsiTheme="minorHAnsi" w:cstheme="minorHAnsi"/>
        </w:rPr>
        <w:t>.</w:t>
      </w:r>
    </w:p>
    <w:p w:rsidR="00F96B08" w:rsidRDefault="00F96B08" w:rsidP="00C25FEA">
      <w:pPr>
        <w:jc w:val="both"/>
        <w:rPr>
          <w:rFonts w:asciiTheme="minorHAnsi" w:hAnsiTheme="minorHAnsi" w:cstheme="minorHAnsi"/>
        </w:rPr>
      </w:pPr>
    </w:p>
    <w:p w:rsidR="00C25FEA" w:rsidRDefault="00F96B08" w:rsidP="00C25FEA">
      <w:pPr>
        <w:jc w:val="both"/>
        <w:rPr>
          <w:rFonts w:asciiTheme="minorHAnsi" w:hAnsiTheme="minorHAnsi" w:cstheme="minorHAnsi"/>
        </w:rPr>
      </w:pPr>
      <w:r>
        <w:rPr>
          <w:rFonts w:asciiTheme="minorHAnsi" w:hAnsiTheme="minorHAnsi" w:cstheme="minorHAnsi"/>
        </w:rPr>
        <w:t xml:space="preserve">Participants </w:t>
      </w:r>
      <w:r w:rsidR="00CA4F23">
        <w:rPr>
          <w:rFonts w:asciiTheme="minorHAnsi" w:hAnsiTheme="minorHAnsi" w:cstheme="minorHAnsi"/>
        </w:rPr>
        <w:t xml:space="preserve">underscored the importance of realizing </w:t>
      </w:r>
      <w:r w:rsidR="00CA4F23" w:rsidRPr="00540244">
        <w:rPr>
          <w:rFonts w:asciiTheme="minorHAnsi" w:hAnsiTheme="minorHAnsi" w:cstheme="minorHAnsi"/>
        </w:rPr>
        <w:t xml:space="preserve">benefits </w:t>
      </w:r>
      <w:r w:rsidR="00CA4F23">
        <w:rPr>
          <w:rFonts w:asciiTheme="minorHAnsi" w:hAnsiTheme="minorHAnsi" w:cstheme="minorHAnsi"/>
        </w:rPr>
        <w:t>of Nile cooperation including investment projects.</w:t>
      </w:r>
    </w:p>
    <w:p w:rsidR="00D7415E" w:rsidRPr="00540244" w:rsidRDefault="00D7415E" w:rsidP="002F7459">
      <w:pPr>
        <w:jc w:val="both"/>
        <w:rPr>
          <w:rFonts w:asciiTheme="minorHAnsi" w:hAnsiTheme="minorHAnsi" w:cstheme="minorHAnsi"/>
        </w:rPr>
      </w:pPr>
    </w:p>
    <w:p w:rsidR="00B65540" w:rsidRPr="00540244" w:rsidRDefault="00693EC1" w:rsidP="00540244">
      <w:pPr>
        <w:jc w:val="both"/>
        <w:rPr>
          <w:rFonts w:asciiTheme="minorHAnsi" w:hAnsiTheme="minorHAnsi" w:cstheme="minorHAnsi"/>
        </w:rPr>
      </w:pPr>
      <w:r>
        <w:rPr>
          <w:rFonts w:asciiTheme="minorHAnsi" w:hAnsiTheme="minorHAnsi" w:cstheme="minorHAnsi"/>
        </w:rPr>
        <w:t xml:space="preserve">This year’s annual event </w:t>
      </w:r>
      <w:r w:rsidR="00F671BD">
        <w:rPr>
          <w:rFonts w:asciiTheme="minorHAnsi" w:hAnsiTheme="minorHAnsi" w:cstheme="minorHAnsi"/>
        </w:rPr>
        <w:t>held from 28</w:t>
      </w:r>
      <w:r w:rsidR="00F671BD" w:rsidRPr="00F671BD">
        <w:rPr>
          <w:rFonts w:asciiTheme="minorHAnsi" w:hAnsiTheme="minorHAnsi" w:cstheme="minorHAnsi"/>
          <w:vertAlign w:val="superscript"/>
        </w:rPr>
        <w:t>th</w:t>
      </w:r>
      <w:r w:rsidR="00F671BD">
        <w:rPr>
          <w:rFonts w:asciiTheme="minorHAnsi" w:hAnsiTheme="minorHAnsi" w:cstheme="minorHAnsi"/>
        </w:rPr>
        <w:t xml:space="preserve"> to 29</w:t>
      </w:r>
      <w:r w:rsidR="00F671BD" w:rsidRPr="00F671BD">
        <w:rPr>
          <w:rFonts w:asciiTheme="minorHAnsi" w:hAnsiTheme="minorHAnsi" w:cstheme="minorHAnsi"/>
          <w:vertAlign w:val="superscript"/>
        </w:rPr>
        <w:t>th</w:t>
      </w:r>
      <w:r w:rsidR="00F671BD">
        <w:rPr>
          <w:rFonts w:asciiTheme="minorHAnsi" w:hAnsiTheme="minorHAnsi" w:cstheme="minorHAnsi"/>
        </w:rPr>
        <w:t xml:space="preserve"> October, 2013 </w:t>
      </w:r>
      <w:r w:rsidR="00B65540" w:rsidRPr="00540244">
        <w:rPr>
          <w:rFonts w:asciiTheme="minorHAnsi" w:hAnsiTheme="minorHAnsi" w:cstheme="minorHAnsi"/>
        </w:rPr>
        <w:t>was attended by members of the Nile Technical Advisory Committee (Nile-TAC)</w:t>
      </w:r>
      <w:r w:rsidR="00540244" w:rsidRPr="00540244">
        <w:rPr>
          <w:rFonts w:asciiTheme="minorHAnsi" w:hAnsiTheme="minorHAnsi" w:cstheme="minorHAnsi"/>
        </w:rPr>
        <w:t xml:space="preserve"> </w:t>
      </w:r>
      <w:r w:rsidR="00917B04" w:rsidRPr="00540244">
        <w:rPr>
          <w:rFonts w:asciiTheme="minorHAnsi" w:hAnsiTheme="minorHAnsi" w:cstheme="minorHAnsi"/>
        </w:rPr>
        <w:t>representing the ten NBI Member</w:t>
      </w:r>
      <w:r w:rsidR="00540244" w:rsidRPr="00540244">
        <w:rPr>
          <w:rFonts w:asciiTheme="minorHAnsi" w:hAnsiTheme="minorHAnsi" w:cstheme="minorHAnsi"/>
        </w:rPr>
        <w:t xml:space="preserve"> States</w:t>
      </w:r>
      <w:r w:rsidR="00917B04" w:rsidRPr="00540244">
        <w:rPr>
          <w:rFonts w:asciiTheme="minorHAnsi" w:hAnsiTheme="minorHAnsi" w:cstheme="minorHAnsi"/>
        </w:rPr>
        <w:t xml:space="preserve">, </w:t>
      </w:r>
      <w:r w:rsidR="00B65540" w:rsidRPr="00540244">
        <w:rPr>
          <w:rFonts w:asciiTheme="minorHAnsi" w:hAnsiTheme="minorHAnsi" w:cstheme="minorHAnsi"/>
        </w:rPr>
        <w:t>representatives of NBI</w:t>
      </w:r>
      <w:r w:rsidR="00917B04" w:rsidRPr="00540244">
        <w:rPr>
          <w:rFonts w:asciiTheme="minorHAnsi" w:hAnsiTheme="minorHAnsi" w:cstheme="minorHAnsi"/>
        </w:rPr>
        <w:t>’s</w:t>
      </w:r>
      <w:r w:rsidR="00B65540" w:rsidRPr="00540244">
        <w:rPr>
          <w:rFonts w:asciiTheme="minorHAnsi" w:hAnsiTheme="minorHAnsi" w:cstheme="minorHAnsi"/>
        </w:rPr>
        <w:t xml:space="preserve"> Development Partners, the Nile Basin Discourse</w:t>
      </w:r>
      <w:r w:rsidR="00917B04" w:rsidRPr="00540244">
        <w:rPr>
          <w:rFonts w:asciiTheme="minorHAnsi" w:hAnsiTheme="minorHAnsi" w:cstheme="minorHAnsi"/>
        </w:rPr>
        <w:t>, Global Water Partnership Eastern Africa</w:t>
      </w:r>
      <w:r w:rsidR="00B65540" w:rsidRPr="00540244">
        <w:rPr>
          <w:rFonts w:asciiTheme="minorHAnsi" w:hAnsiTheme="minorHAnsi" w:cstheme="minorHAnsi"/>
        </w:rPr>
        <w:t xml:space="preserve"> as well as Management of NBI.</w:t>
      </w:r>
    </w:p>
    <w:p w:rsidR="00D94D39" w:rsidRPr="00224A01" w:rsidRDefault="00D94D39" w:rsidP="00121698">
      <w:pPr>
        <w:rPr>
          <w:rFonts w:ascii="Calibri" w:hAnsi="Calibri" w:cs="Calibri"/>
        </w:rPr>
      </w:pPr>
    </w:p>
    <w:p w:rsidR="00121698" w:rsidRDefault="00121698" w:rsidP="00121698"/>
    <w:p w:rsidR="00286891" w:rsidRPr="003F7DEE" w:rsidRDefault="00286891" w:rsidP="00286891">
      <w:pPr>
        <w:pStyle w:val="NormalWeb"/>
        <w:jc w:val="center"/>
        <w:rPr>
          <w:b/>
          <w:color w:val="00B050"/>
        </w:rPr>
      </w:pPr>
      <w:r w:rsidRPr="003F7DEE">
        <w:rPr>
          <w:b/>
          <w:color w:val="00B050"/>
        </w:rPr>
        <w:t>********</w:t>
      </w:r>
      <w:r w:rsidR="003F7DEE" w:rsidRPr="003F7DEE">
        <w:rPr>
          <w:b/>
          <w:color w:val="00B050"/>
        </w:rPr>
        <w:t>********************************</w:t>
      </w:r>
    </w:p>
    <w:p w:rsidR="004B3627" w:rsidRPr="004B3627" w:rsidRDefault="004B3627" w:rsidP="004B3627">
      <w:pPr>
        <w:jc w:val="both"/>
        <w:rPr>
          <w:rFonts w:asciiTheme="minorHAnsi" w:hAnsiTheme="minorHAnsi" w:cstheme="minorHAnsi"/>
          <w:sz w:val="20"/>
          <w:szCs w:val="20"/>
        </w:rPr>
      </w:pPr>
      <w:r w:rsidRPr="004B3627">
        <w:rPr>
          <w:rFonts w:asciiTheme="minorHAnsi" w:hAnsiTheme="minorHAnsi" w:cstheme="minorHAnsi"/>
          <w:sz w:val="20"/>
          <w:szCs w:val="20"/>
        </w:rPr>
        <w:lastRenderedPageBreak/>
        <w:t xml:space="preserve">The Nile Basin Initiative (NBI) is a transitional, 10-Member intergovernmental partnership institution guided by a </w:t>
      </w:r>
      <w:r w:rsidRPr="004B3627">
        <w:rPr>
          <w:rFonts w:asciiTheme="minorHAnsi" w:hAnsiTheme="minorHAnsi" w:cstheme="minorHAnsi"/>
          <w:b/>
          <w:sz w:val="20"/>
          <w:szCs w:val="20"/>
        </w:rPr>
        <w:t>Shared Vision objective: ‘</w:t>
      </w:r>
      <w:r w:rsidRPr="004B3627">
        <w:rPr>
          <w:rFonts w:asciiTheme="minorHAnsi" w:hAnsiTheme="minorHAnsi" w:cstheme="minorHAnsi"/>
          <w:i/>
          <w:iCs/>
          <w:sz w:val="20"/>
          <w:szCs w:val="20"/>
        </w:rPr>
        <w:t>To achieve sustainable socio-economic development through equitable utilization of, and benefit from, the common Nile Basin Water resources’</w:t>
      </w:r>
      <w:r w:rsidRPr="004B3627">
        <w:rPr>
          <w:rFonts w:asciiTheme="minorHAnsi" w:hAnsiTheme="minorHAnsi" w:cstheme="minorHAnsi"/>
          <w:sz w:val="20"/>
          <w:szCs w:val="20"/>
        </w:rPr>
        <w:t xml:space="preserve">. </w:t>
      </w:r>
      <w:r w:rsidRPr="00224A01">
        <w:rPr>
          <w:rFonts w:asciiTheme="minorHAnsi" w:hAnsiTheme="minorHAnsi" w:cstheme="minorHAnsi"/>
          <w:b/>
          <w:sz w:val="20"/>
          <w:szCs w:val="20"/>
        </w:rPr>
        <w:t xml:space="preserve">NBI Member States are: </w:t>
      </w:r>
      <w:r w:rsidRPr="00224A01">
        <w:rPr>
          <w:rFonts w:asciiTheme="minorHAnsi" w:hAnsiTheme="minorHAnsi" w:cstheme="minorHAnsi"/>
          <w:b/>
          <w:bCs/>
          <w:sz w:val="20"/>
          <w:szCs w:val="20"/>
        </w:rPr>
        <w:t xml:space="preserve">Burundi, DR Congo, Egypt, Ethiopia, Kenya, Rwanda, South Sudan, </w:t>
      </w:r>
      <w:proofErr w:type="gramStart"/>
      <w:r w:rsidRPr="00224A01">
        <w:rPr>
          <w:rFonts w:asciiTheme="minorHAnsi" w:hAnsiTheme="minorHAnsi" w:cstheme="minorHAnsi"/>
          <w:b/>
          <w:bCs/>
          <w:sz w:val="20"/>
          <w:szCs w:val="20"/>
        </w:rPr>
        <w:t>The</w:t>
      </w:r>
      <w:proofErr w:type="gramEnd"/>
      <w:r w:rsidRPr="00224A01">
        <w:rPr>
          <w:rFonts w:asciiTheme="minorHAnsi" w:hAnsiTheme="minorHAnsi" w:cstheme="minorHAnsi"/>
          <w:b/>
          <w:bCs/>
          <w:sz w:val="20"/>
          <w:szCs w:val="20"/>
        </w:rPr>
        <w:t xml:space="preserve"> Sudan, Tanzania, and Uganda</w:t>
      </w:r>
      <w:r w:rsidRPr="00224A01">
        <w:rPr>
          <w:rFonts w:asciiTheme="minorHAnsi" w:hAnsiTheme="minorHAnsi" w:cstheme="minorHAnsi"/>
          <w:b/>
          <w:sz w:val="20"/>
          <w:szCs w:val="20"/>
        </w:rPr>
        <w:t>.</w:t>
      </w:r>
      <w:r w:rsidRPr="004B3627">
        <w:rPr>
          <w:rFonts w:asciiTheme="minorHAnsi" w:eastAsia="Batang" w:hAnsiTheme="minorHAnsi" w:cstheme="minorHAnsi"/>
          <w:sz w:val="20"/>
          <w:szCs w:val="20"/>
        </w:rPr>
        <w:t xml:space="preserve"> Eritrea participates as an observer.</w:t>
      </w:r>
      <w:r>
        <w:rPr>
          <w:rFonts w:asciiTheme="minorHAnsi" w:hAnsiTheme="minorHAnsi" w:cstheme="minorHAnsi"/>
          <w:sz w:val="20"/>
          <w:szCs w:val="20"/>
        </w:rPr>
        <w:t xml:space="preserve"> </w:t>
      </w:r>
      <w:r w:rsidRPr="004B3627">
        <w:rPr>
          <w:rFonts w:asciiTheme="minorHAnsi" w:eastAsia="Batang" w:hAnsiTheme="minorHAnsi" w:cstheme="minorHAnsi"/>
          <w:sz w:val="20"/>
          <w:szCs w:val="20"/>
        </w:rPr>
        <w:t>Launched on 22</w:t>
      </w:r>
      <w:r w:rsidRPr="004B3627">
        <w:rPr>
          <w:rFonts w:asciiTheme="minorHAnsi" w:eastAsia="Batang" w:hAnsiTheme="minorHAnsi" w:cstheme="minorHAnsi"/>
          <w:sz w:val="20"/>
          <w:szCs w:val="20"/>
          <w:vertAlign w:val="superscript"/>
        </w:rPr>
        <w:t>nd</w:t>
      </w:r>
      <w:r w:rsidRPr="004B3627">
        <w:rPr>
          <w:rFonts w:asciiTheme="minorHAnsi" w:eastAsia="Batang" w:hAnsiTheme="minorHAnsi" w:cstheme="minorHAnsi"/>
          <w:sz w:val="20"/>
          <w:szCs w:val="20"/>
        </w:rPr>
        <w:t xml:space="preserve"> February, 1999 </w:t>
      </w:r>
      <w:r w:rsidRPr="004B3627">
        <w:rPr>
          <w:rFonts w:asciiTheme="minorHAnsi" w:hAnsiTheme="minorHAnsi" w:cstheme="minorHAnsi"/>
          <w:sz w:val="20"/>
          <w:szCs w:val="20"/>
        </w:rPr>
        <w:t xml:space="preserve">NBI provides the only all- inclusive regional platform for multi stakeholder dialogue, for sharing information, joint planning and management of water and related resources in the Nile Basin. </w:t>
      </w:r>
    </w:p>
    <w:p w:rsidR="004B3627" w:rsidRPr="004B3627" w:rsidRDefault="004B3627" w:rsidP="004B3627">
      <w:pPr>
        <w:jc w:val="both"/>
        <w:rPr>
          <w:rFonts w:asciiTheme="minorHAnsi" w:eastAsia="Batang" w:hAnsiTheme="minorHAnsi" w:cstheme="minorHAnsi"/>
          <w:sz w:val="20"/>
          <w:szCs w:val="20"/>
        </w:rPr>
      </w:pPr>
    </w:p>
    <w:p w:rsidR="004B3627" w:rsidRPr="004B3627" w:rsidRDefault="004B3627" w:rsidP="004B3627">
      <w:pPr>
        <w:jc w:val="both"/>
        <w:rPr>
          <w:rStyle w:val="Strong"/>
          <w:rFonts w:asciiTheme="minorHAnsi" w:eastAsia="Batang" w:hAnsiTheme="minorHAnsi" w:cstheme="minorHAnsi"/>
          <w:b w:val="0"/>
          <w:sz w:val="20"/>
          <w:szCs w:val="20"/>
        </w:rPr>
      </w:pPr>
      <w:r w:rsidRPr="004B3627">
        <w:rPr>
          <w:rFonts w:asciiTheme="minorHAnsi" w:eastAsia="Batang" w:hAnsiTheme="minorHAnsi" w:cstheme="minorHAnsi"/>
          <w:sz w:val="20"/>
          <w:szCs w:val="20"/>
        </w:rPr>
        <w:t xml:space="preserve">NBI is governed by a Council of 10 Ministers in charge of Water Affairs in the NBI Member States (Nile-COM), which is the highest decision and policy-making body. The Nile-COM is supported by a Technical Advisory Committee (Nile-TAC), comprised </w:t>
      </w:r>
      <w:r w:rsidRPr="004B3627">
        <w:rPr>
          <w:rStyle w:val="Strong"/>
          <w:rFonts w:asciiTheme="minorHAnsi" w:eastAsia="Batang" w:hAnsiTheme="minorHAnsi" w:cstheme="minorHAnsi"/>
          <w:b w:val="0"/>
          <w:sz w:val="20"/>
          <w:szCs w:val="20"/>
        </w:rPr>
        <w:t>of 20 senior government officials from the partner states.</w:t>
      </w:r>
    </w:p>
    <w:p w:rsidR="004B3627" w:rsidRPr="004B3627" w:rsidRDefault="004B3627" w:rsidP="004B3627">
      <w:pPr>
        <w:jc w:val="both"/>
        <w:rPr>
          <w:rStyle w:val="Strong"/>
          <w:rFonts w:asciiTheme="minorHAnsi" w:eastAsia="Batang" w:hAnsiTheme="minorHAnsi" w:cstheme="minorHAnsi"/>
          <w:b w:val="0"/>
          <w:sz w:val="20"/>
          <w:szCs w:val="20"/>
        </w:rPr>
      </w:pPr>
    </w:p>
    <w:p w:rsidR="004B3627" w:rsidRPr="004B3627" w:rsidRDefault="004B3627" w:rsidP="004B3627">
      <w:pPr>
        <w:jc w:val="both"/>
        <w:rPr>
          <w:rStyle w:val="Strong"/>
          <w:rFonts w:asciiTheme="minorHAnsi" w:eastAsia="Batang" w:hAnsiTheme="minorHAnsi" w:cstheme="minorHAnsi"/>
          <w:b w:val="0"/>
          <w:sz w:val="20"/>
          <w:szCs w:val="20"/>
        </w:rPr>
      </w:pPr>
      <w:r w:rsidRPr="004B3627">
        <w:rPr>
          <w:rStyle w:val="Strong"/>
          <w:rFonts w:asciiTheme="minorHAnsi" w:eastAsia="Batang" w:hAnsiTheme="minorHAnsi" w:cstheme="minorHAnsi"/>
          <w:b w:val="0"/>
          <w:sz w:val="20"/>
          <w:szCs w:val="20"/>
        </w:rPr>
        <w:t>Professional day to day management of NBI is from three centers – a</w:t>
      </w:r>
      <w:r w:rsidRPr="004B3627">
        <w:rPr>
          <w:rStyle w:val="Strong"/>
          <w:rFonts w:asciiTheme="minorHAnsi" w:eastAsia="Batang" w:hAnsiTheme="minorHAnsi" w:cstheme="minorHAnsi"/>
          <w:sz w:val="20"/>
          <w:szCs w:val="20"/>
        </w:rPr>
        <w:t xml:space="preserve"> </w:t>
      </w:r>
      <w:r w:rsidRPr="004B3627">
        <w:rPr>
          <w:rFonts w:asciiTheme="minorHAnsi" w:eastAsia="Batang" w:hAnsiTheme="minorHAnsi" w:cstheme="minorHAnsi"/>
          <w:sz w:val="20"/>
          <w:szCs w:val="20"/>
        </w:rPr>
        <w:t xml:space="preserve">basin-wide Secretariat, the Nile Basin Initiative Secretariat (Nile-SEC) located in Entebbe, Uganda responsible for overall corporate direction. The Eastern Nile Technical Regional Office (ENTRO) based in Addis Ababa, Ethiopia executes the Eastern Nile Subsidiary Action Program (ENSAP) - comprising Egypt, Ethiopia, South Sudan and Sudan. The Nile Equatorial Lakes Subsidiary Action Program Coordination Unit (NELSAP-CU) based in Kigali, Rwanda executes the Nile Equatorial Lakes Subsidiary Action Program (NELSAP)- comprising  Burundi, DR Congo, Egypt, Ethiopia, Kenya, Rwanda, South Sudan, Sudan, Tanzania and Uganda. In each Member State there is an NBI office, the Focal Point, which coordinates and links trans-boundary NBI, and national plans and activities. </w:t>
      </w:r>
      <w:r w:rsidRPr="004B3627">
        <w:rPr>
          <w:rFonts w:asciiTheme="minorHAnsi" w:hAnsiTheme="minorHAnsi" w:cstheme="minorHAnsi"/>
          <w:sz w:val="20"/>
          <w:szCs w:val="20"/>
        </w:rPr>
        <w:t xml:space="preserve">At national level, the Ministries in Charge of Water Affairs are the NBI focal point in each Member State. </w:t>
      </w:r>
    </w:p>
    <w:p w:rsidR="004B3627" w:rsidRPr="004B3627" w:rsidRDefault="004B3627" w:rsidP="004B3627">
      <w:pPr>
        <w:jc w:val="both"/>
        <w:rPr>
          <w:rFonts w:asciiTheme="minorHAnsi" w:eastAsia="Batang" w:hAnsiTheme="minorHAnsi" w:cstheme="minorHAnsi"/>
          <w:b/>
          <w:bCs/>
          <w:color w:val="0070C0"/>
          <w:sz w:val="20"/>
          <w:szCs w:val="20"/>
        </w:rPr>
      </w:pPr>
    </w:p>
    <w:p w:rsidR="004B3627" w:rsidRPr="004B3627" w:rsidRDefault="004B3627" w:rsidP="004B3627">
      <w:pPr>
        <w:jc w:val="both"/>
        <w:rPr>
          <w:rFonts w:asciiTheme="minorHAnsi" w:eastAsia="Batang" w:hAnsiTheme="minorHAnsi" w:cstheme="minorHAnsi"/>
          <w:b/>
          <w:sz w:val="20"/>
          <w:szCs w:val="20"/>
        </w:rPr>
      </w:pPr>
      <w:r w:rsidRPr="004B3627">
        <w:rPr>
          <w:rFonts w:asciiTheme="minorHAnsi" w:eastAsia="Batang" w:hAnsiTheme="minorHAnsi" w:cstheme="minorHAnsi"/>
          <w:b/>
          <w:sz w:val="20"/>
          <w:szCs w:val="20"/>
        </w:rPr>
        <w:t>NBI core functions:</w:t>
      </w:r>
    </w:p>
    <w:p w:rsidR="004B3627" w:rsidRPr="004B3627" w:rsidRDefault="004B3627" w:rsidP="004B3627">
      <w:pPr>
        <w:jc w:val="both"/>
        <w:rPr>
          <w:rFonts w:asciiTheme="minorHAnsi" w:hAnsiTheme="minorHAnsi" w:cstheme="minorHAnsi"/>
          <w:b/>
          <w:sz w:val="20"/>
          <w:szCs w:val="20"/>
        </w:rPr>
      </w:pPr>
      <w:r w:rsidRPr="004B3627">
        <w:rPr>
          <w:rFonts w:asciiTheme="minorHAnsi" w:hAnsiTheme="minorHAnsi" w:cstheme="minorHAnsi"/>
          <w:b/>
          <w:color w:val="943634" w:themeColor="accent2" w:themeShade="BF"/>
          <w:sz w:val="20"/>
          <w:szCs w:val="20"/>
        </w:rPr>
        <w:t>Basin Cooperation -</w:t>
      </w:r>
      <w:r w:rsidRPr="004B3627">
        <w:rPr>
          <w:rFonts w:asciiTheme="minorHAnsi" w:hAnsiTheme="minorHAnsi" w:cstheme="minorHAnsi"/>
          <w:sz w:val="20"/>
          <w:szCs w:val="20"/>
        </w:rPr>
        <w:t>To facilitate, support and nurture cooperation amongst the Nile Basin countries so as to promote timely and efficient joint actions required for securing benefit from the common Nile Basin water resources</w:t>
      </w:r>
    </w:p>
    <w:p w:rsidR="004B3627" w:rsidRPr="004B3627" w:rsidRDefault="004B3627" w:rsidP="004B3627">
      <w:pPr>
        <w:jc w:val="both"/>
        <w:rPr>
          <w:rFonts w:asciiTheme="minorHAnsi" w:hAnsiTheme="minorHAnsi" w:cstheme="minorHAnsi"/>
          <w:b/>
          <w:sz w:val="20"/>
          <w:szCs w:val="20"/>
        </w:rPr>
      </w:pPr>
    </w:p>
    <w:p w:rsidR="004B3627" w:rsidRPr="004B3627" w:rsidRDefault="004B3627" w:rsidP="004B3627">
      <w:pPr>
        <w:jc w:val="both"/>
        <w:rPr>
          <w:rFonts w:asciiTheme="minorHAnsi" w:hAnsiTheme="minorHAnsi" w:cstheme="minorHAnsi"/>
          <w:b/>
          <w:sz w:val="20"/>
          <w:szCs w:val="20"/>
        </w:rPr>
      </w:pPr>
      <w:r w:rsidRPr="004B3627">
        <w:rPr>
          <w:rFonts w:asciiTheme="minorHAnsi" w:hAnsiTheme="minorHAnsi" w:cstheme="minorHAnsi"/>
          <w:b/>
          <w:color w:val="00B050"/>
          <w:sz w:val="20"/>
          <w:szCs w:val="20"/>
        </w:rPr>
        <w:t>Water Resource Management</w:t>
      </w:r>
      <w:r w:rsidRPr="004B3627">
        <w:rPr>
          <w:rFonts w:asciiTheme="minorHAnsi" w:hAnsiTheme="minorHAnsi" w:cstheme="minorHAnsi"/>
          <w:b/>
          <w:sz w:val="20"/>
          <w:szCs w:val="20"/>
        </w:rPr>
        <w:t xml:space="preserve"> - </w:t>
      </w:r>
      <w:r w:rsidRPr="004B3627">
        <w:rPr>
          <w:rFonts w:asciiTheme="minorHAnsi" w:hAnsiTheme="minorHAnsi" w:cstheme="minorHAnsi"/>
          <w:sz w:val="20"/>
          <w:szCs w:val="20"/>
        </w:rPr>
        <w:t>To assess, manage and safeguard the water resource base that supports the peoples of the Nile Basin through applying the principles of knowledge-based integrated water resources management to water development planning and assessment</w:t>
      </w:r>
    </w:p>
    <w:p w:rsidR="004B3627" w:rsidRPr="004B3627" w:rsidRDefault="004B3627" w:rsidP="004B3627">
      <w:pPr>
        <w:jc w:val="both"/>
        <w:rPr>
          <w:rFonts w:asciiTheme="minorHAnsi" w:hAnsiTheme="minorHAnsi" w:cstheme="minorHAnsi"/>
          <w:b/>
          <w:sz w:val="20"/>
          <w:szCs w:val="20"/>
        </w:rPr>
      </w:pPr>
    </w:p>
    <w:p w:rsidR="00286891" w:rsidRPr="003F7DEE" w:rsidRDefault="004B3627" w:rsidP="003F7DEE">
      <w:pPr>
        <w:jc w:val="both"/>
        <w:rPr>
          <w:rFonts w:asciiTheme="minorHAnsi" w:hAnsiTheme="minorHAnsi" w:cstheme="minorHAnsi"/>
          <w:b/>
          <w:sz w:val="20"/>
          <w:szCs w:val="20"/>
        </w:rPr>
      </w:pPr>
      <w:r w:rsidRPr="004B3627">
        <w:rPr>
          <w:rFonts w:asciiTheme="minorHAnsi" w:hAnsiTheme="minorHAnsi" w:cstheme="minorHAnsi"/>
          <w:b/>
          <w:color w:val="0070C0"/>
          <w:sz w:val="20"/>
          <w:szCs w:val="20"/>
        </w:rPr>
        <w:t>Water Resource Development</w:t>
      </w:r>
      <w:r w:rsidRPr="004B3627">
        <w:rPr>
          <w:rFonts w:asciiTheme="minorHAnsi" w:hAnsiTheme="minorHAnsi" w:cstheme="minorHAnsi"/>
          <w:b/>
          <w:sz w:val="20"/>
          <w:szCs w:val="20"/>
        </w:rPr>
        <w:t xml:space="preserve"> - </w:t>
      </w:r>
      <w:r w:rsidRPr="004B3627">
        <w:rPr>
          <w:rFonts w:asciiTheme="minorHAnsi" w:hAnsiTheme="minorHAnsi" w:cstheme="minorHAnsi"/>
          <w:sz w:val="20"/>
          <w:szCs w:val="20"/>
        </w:rPr>
        <w:t>To identify, prepare and facilitate investment in Regional/trans-boundary water development projects and programs whilst avoiding negative impacts on the health of the Nile Basin’s resources through applying the principles of integrated water resources management</w:t>
      </w:r>
    </w:p>
    <w:sectPr w:rsidR="00286891" w:rsidRPr="003F7DEE" w:rsidSect="00310338">
      <w:footerReference w:type="even" r:id="rId10"/>
      <w:footerReference w:type="default" r:id="rId11"/>
      <w:pgSz w:w="12240" w:h="15840"/>
      <w:pgMar w:top="1440" w:right="135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FA2" w:rsidRDefault="002D3FA2">
      <w:r>
        <w:separator/>
      </w:r>
    </w:p>
  </w:endnote>
  <w:endnote w:type="continuationSeparator" w:id="0">
    <w:p w:rsidR="002D3FA2" w:rsidRDefault="002D3FA2">
      <w:r>
        <w:continuationSeparator/>
      </w:r>
    </w:p>
  </w:endnote>
</w:endnotes>
</file>

<file path=word/fontTable.xml><?xml version="1.0" encoding="utf-8"?>
<w:fonts xmlns:r="http://schemas.openxmlformats.org/officeDocument/2006/relationships" xmlns:w="http://schemas.openxmlformats.org/wordprocessingml/2006/main">
  <w:font w:name="Interstate-LightCond">
    <w:altName w:val="Interstate Light Cond"/>
    <w:panose1 w:val="00000000000000000000"/>
    <w:charset w:val="4D"/>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864" w:rsidRDefault="00707840" w:rsidP="00286891">
    <w:pPr>
      <w:pStyle w:val="Footer"/>
      <w:framePr w:wrap="around" w:vAnchor="text" w:hAnchor="margin" w:xAlign="right" w:y="1"/>
      <w:rPr>
        <w:rStyle w:val="PageNumber"/>
      </w:rPr>
    </w:pPr>
    <w:r>
      <w:rPr>
        <w:rStyle w:val="PageNumber"/>
      </w:rPr>
      <w:fldChar w:fldCharType="begin"/>
    </w:r>
    <w:r w:rsidR="00405864">
      <w:rPr>
        <w:rStyle w:val="PageNumber"/>
      </w:rPr>
      <w:instrText xml:space="preserve">PAGE  </w:instrText>
    </w:r>
    <w:r>
      <w:rPr>
        <w:rStyle w:val="PageNumber"/>
      </w:rPr>
      <w:fldChar w:fldCharType="end"/>
    </w:r>
  </w:p>
  <w:p w:rsidR="00405864" w:rsidRDefault="00405864" w:rsidP="0028689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864" w:rsidRDefault="00707840" w:rsidP="00286891">
    <w:pPr>
      <w:pStyle w:val="Footer"/>
      <w:framePr w:wrap="around" w:vAnchor="text" w:hAnchor="margin" w:xAlign="right" w:y="1"/>
      <w:rPr>
        <w:rStyle w:val="PageNumber"/>
      </w:rPr>
    </w:pPr>
    <w:r>
      <w:rPr>
        <w:rStyle w:val="PageNumber"/>
      </w:rPr>
      <w:fldChar w:fldCharType="begin"/>
    </w:r>
    <w:r w:rsidR="00405864">
      <w:rPr>
        <w:rStyle w:val="PageNumber"/>
      </w:rPr>
      <w:instrText xml:space="preserve">PAGE  </w:instrText>
    </w:r>
    <w:r>
      <w:rPr>
        <w:rStyle w:val="PageNumber"/>
      </w:rPr>
      <w:fldChar w:fldCharType="separate"/>
    </w:r>
    <w:r w:rsidR="0006145B">
      <w:rPr>
        <w:rStyle w:val="PageNumber"/>
        <w:noProof/>
      </w:rPr>
      <w:t>1</w:t>
    </w:r>
    <w:r>
      <w:rPr>
        <w:rStyle w:val="PageNumber"/>
      </w:rPr>
      <w:fldChar w:fldCharType="end"/>
    </w:r>
  </w:p>
  <w:p w:rsidR="00405864" w:rsidRPr="00A40495" w:rsidRDefault="00405864" w:rsidP="00286891">
    <w:pPr>
      <w:pStyle w:val="Footer"/>
      <w:ind w:right="360"/>
      <w:rPr>
        <w:rFonts w:ascii="Book Antiqua" w:hAnsi="Book Antiqua"/>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FA2" w:rsidRDefault="002D3FA2">
      <w:r>
        <w:separator/>
      </w:r>
    </w:p>
  </w:footnote>
  <w:footnote w:type="continuationSeparator" w:id="0">
    <w:p w:rsidR="002D3FA2" w:rsidRDefault="002D3F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17693"/>
    <w:multiLevelType w:val="hybridMultilevel"/>
    <w:tmpl w:val="8C226B0E"/>
    <w:lvl w:ilvl="0" w:tplc="5C4407A0">
      <w:numFmt w:val="bullet"/>
      <w:lvlText w:val="•"/>
      <w:lvlJc w:val="left"/>
      <w:pPr>
        <w:ind w:left="1440" w:hanging="360"/>
      </w:pPr>
      <w:rPr>
        <w:rFonts w:ascii="Interstate-LightCond" w:eastAsia="Times New Roman" w:hAnsi="Interstate-LightCond" w:cs="Interstate-LightC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FDC3E49"/>
    <w:multiLevelType w:val="hybridMultilevel"/>
    <w:tmpl w:val="6B9A8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464B6F"/>
    <w:multiLevelType w:val="hybridMultilevel"/>
    <w:tmpl w:val="42CCF31C"/>
    <w:lvl w:ilvl="0" w:tplc="7E90C06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3128AF"/>
    <w:multiLevelType w:val="hybridMultilevel"/>
    <w:tmpl w:val="EA14AC3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characterSpacingControl w:val="doNotCompress"/>
  <w:footnotePr>
    <w:footnote w:id="-1"/>
    <w:footnote w:id="0"/>
  </w:footnotePr>
  <w:endnotePr>
    <w:endnote w:id="-1"/>
    <w:endnote w:id="0"/>
  </w:endnotePr>
  <w:compat/>
  <w:rsids>
    <w:rsidRoot w:val="00286891"/>
    <w:rsid w:val="00031250"/>
    <w:rsid w:val="00053DE6"/>
    <w:rsid w:val="0006145B"/>
    <w:rsid w:val="00083EDE"/>
    <w:rsid w:val="00092EBC"/>
    <w:rsid w:val="000C397A"/>
    <w:rsid w:val="000E11E6"/>
    <w:rsid w:val="00103B1E"/>
    <w:rsid w:val="00106AAC"/>
    <w:rsid w:val="00110F51"/>
    <w:rsid w:val="00116E4A"/>
    <w:rsid w:val="00121698"/>
    <w:rsid w:val="00144FFA"/>
    <w:rsid w:val="001B67CA"/>
    <w:rsid w:val="001E7652"/>
    <w:rsid w:val="00224A01"/>
    <w:rsid w:val="00225148"/>
    <w:rsid w:val="0023022B"/>
    <w:rsid w:val="0026668A"/>
    <w:rsid w:val="00286891"/>
    <w:rsid w:val="00292972"/>
    <w:rsid w:val="00297436"/>
    <w:rsid w:val="002B0FB8"/>
    <w:rsid w:val="002D3FA2"/>
    <w:rsid w:val="002F3056"/>
    <w:rsid w:val="002F5A71"/>
    <w:rsid w:val="002F70F2"/>
    <w:rsid w:val="002F7459"/>
    <w:rsid w:val="00310338"/>
    <w:rsid w:val="00313984"/>
    <w:rsid w:val="00321760"/>
    <w:rsid w:val="00330A6E"/>
    <w:rsid w:val="00330C20"/>
    <w:rsid w:val="003F7DEE"/>
    <w:rsid w:val="00405864"/>
    <w:rsid w:val="004B3627"/>
    <w:rsid w:val="004F0036"/>
    <w:rsid w:val="004F4BA0"/>
    <w:rsid w:val="0050579C"/>
    <w:rsid w:val="00513375"/>
    <w:rsid w:val="00530BC3"/>
    <w:rsid w:val="005357D0"/>
    <w:rsid w:val="0053614F"/>
    <w:rsid w:val="00540244"/>
    <w:rsid w:val="00564CC0"/>
    <w:rsid w:val="005B79E9"/>
    <w:rsid w:val="005C11FA"/>
    <w:rsid w:val="005D676E"/>
    <w:rsid w:val="005D6FAC"/>
    <w:rsid w:val="005F616F"/>
    <w:rsid w:val="006323ED"/>
    <w:rsid w:val="00693EC1"/>
    <w:rsid w:val="006A382D"/>
    <w:rsid w:val="006B18DD"/>
    <w:rsid w:val="006F0D72"/>
    <w:rsid w:val="00707840"/>
    <w:rsid w:val="00725D7E"/>
    <w:rsid w:val="00733B9D"/>
    <w:rsid w:val="00736958"/>
    <w:rsid w:val="007639C2"/>
    <w:rsid w:val="007A4447"/>
    <w:rsid w:val="007B010B"/>
    <w:rsid w:val="007B68E0"/>
    <w:rsid w:val="007D3AAF"/>
    <w:rsid w:val="008259DC"/>
    <w:rsid w:val="008311C7"/>
    <w:rsid w:val="00834FC4"/>
    <w:rsid w:val="00862C41"/>
    <w:rsid w:val="00887DC8"/>
    <w:rsid w:val="008A1D89"/>
    <w:rsid w:val="008C746E"/>
    <w:rsid w:val="008E27A0"/>
    <w:rsid w:val="008E6877"/>
    <w:rsid w:val="00915A39"/>
    <w:rsid w:val="00917B04"/>
    <w:rsid w:val="00917E2C"/>
    <w:rsid w:val="00936FFA"/>
    <w:rsid w:val="00980BAC"/>
    <w:rsid w:val="00994C56"/>
    <w:rsid w:val="009A23AC"/>
    <w:rsid w:val="009E6A29"/>
    <w:rsid w:val="009F2C6B"/>
    <w:rsid w:val="00A12AC9"/>
    <w:rsid w:val="00A12B5F"/>
    <w:rsid w:val="00A43B55"/>
    <w:rsid w:val="00A718AA"/>
    <w:rsid w:val="00A86BF7"/>
    <w:rsid w:val="00AA29C5"/>
    <w:rsid w:val="00AB6C42"/>
    <w:rsid w:val="00AC299F"/>
    <w:rsid w:val="00AF076F"/>
    <w:rsid w:val="00B4308D"/>
    <w:rsid w:val="00B65540"/>
    <w:rsid w:val="00B65648"/>
    <w:rsid w:val="00B73C08"/>
    <w:rsid w:val="00B74861"/>
    <w:rsid w:val="00B859C6"/>
    <w:rsid w:val="00B86881"/>
    <w:rsid w:val="00B877AC"/>
    <w:rsid w:val="00B95316"/>
    <w:rsid w:val="00BD1141"/>
    <w:rsid w:val="00BD4764"/>
    <w:rsid w:val="00C03D17"/>
    <w:rsid w:val="00C11782"/>
    <w:rsid w:val="00C25FEA"/>
    <w:rsid w:val="00C33259"/>
    <w:rsid w:val="00C849DB"/>
    <w:rsid w:val="00CA049F"/>
    <w:rsid w:val="00CA4F23"/>
    <w:rsid w:val="00CB5E93"/>
    <w:rsid w:val="00CE0A9A"/>
    <w:rsid w:val="00CF007B"/>
    <w:rsid w:val="00D30078"/>
    <w:rsid w:val="00D5393A"/>
    <w:rsid w:val="00D7415E"/>
    <w:rsid w:val="00D94D39"/>
    <w:rsid w:val="00DA50C0"/>
    <w:rsid w:val="00DD3F30"/>
    <w:rsid w:val="00DF0306"/>
    <w:rsid w:val="00E16B4B"/>
    <w:rsid w:val="00E30A39"/>
    <w:rsid w:val="00E42DB0"/>
    <w:rsid w:val="00E92FA4"/>
    <w:rsid w:val="00E96F31"/>
    <w:rsid w:val="00EA687B"/>
    <w:rsid w:val="00EB17F8"/>
    <w:rsid w:val="00EC270B"/>
    <w:rsid w:val="00EE18BA"/>
    <w:rsid w:val="00F0257E"/>
    <w:rsid w:val="00F2168D"/>
    <w:rsid w:val="00F371D2"/>
    <w:rsid w:val="00F44C45"/>
    <w:rsid w:val="00F671BD"/>
    <w:rsid w:val="00F96B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891"/>
    <w:rPr>
      <w:sz w:val="24"/>
      <w:szCs w:val="24"/>
    </w:rPr>
  </w:style>
  <w:style w:type="paragraph" w:styleId="Heading1">
    <w:name w:val="heading 1"/>
    <w:basedOn w:val="Normal"/>
    <w:next w:val="Normal"/>
    <w:qFormat/>
    <w:rsid w:val="00286891"/>
    <w:pPr>
      <w:keepNext/>
      <w:spacing w:before="240" w:after="60"/>
      <w:outlineLvl w:val="0"/>
    </w:pPr>
    <w:rPr>
      <w:rFonts w:ascii="Arial" w:hAnsi="Arial" w:cs="Arial"/>
      <w:b/>
      <w:bCs/>
      <w:kern w:val="32"/>
      <w:sz w:val="32"/>
      <w:szCs w:val="32"/>
    </w:rPr>
  </w:style>
  <w:style w:type="paragraph" w:styleId="Heading2">
    <w:name w:val="heading 2"/>
    <w:basedOn w:val="Normal"/>
    <w:qFormat/>
    <w:rsid w:val="00286891"/>
    <w:pPr>
      <w:spacing w:before="100" w:beforeAutospacing="1" w:after="100" w:afterAutospacing="1"/>
      <w:outlineLvl w:val="1"/>
    </w:pPr>
    <w:rPr>
      <w:b/>
      <w:bCs/>
      <w:color w:val="00006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86891"/>
    <w:rPr>
      <w:color w:val="660099"/>
      <w:u w:val="single"/>
    </w:rPr>
  </w:style>
  <w:style w:type="paragraph" w:styleId="NormalWeb">
    <w:name w:val="Normal (Web)"/>
    <w:basedOn w:val="Normal"/>
    <w:uiPriority w:val="99"/>
    <w:rsid w:val="00286891"/>
    <w:pPr>
      <w:spacing w:before="100" w:beforeAutospacing="1" w:after="100" w:afterAutospacing="1"/>
    </w:pPr>
    <w:rPr>
      <w:color w:val="000066"/>
    </w:rPr>
  </w:style>
  <w:style w:type="character" w:customStyle="1" w:styleId="setbodysmall">
    <w:name w:val="setbodysmall"/>
    <w:basedOn w:val="DefaultParagraphFont"/>
    <w:rsid w:val="00286891"/>
  </w:style>
  <w:style w:type="paragraph" w:styleId="Footer">
    <w:name w:val="footer"/>
    <w:basedOn w:val="Normal"/>
    <w:rsid w:val="00286891"/>
    <w:pPr>
      <w:tabs>
        <w:tab w:val="center" w:pos="4320"/>
        <w:tab w:val="right" w:pos="8640"/>
      </w:tabs>
    </w:pPr>
  </w:style>
  <w:style w:type="character" w:styleId="PageNumber">
    <w:name w:val="page number"/>
    <w:basedOn w:val="DefaultParagraphFont"/>
    <w:rsid w:val="00286891"/>
  </w:style>
  <w:style w:type="paragraph" w:customStyle="1" w:styleId="CarCar">
    <w:name w:val="Car Car"/>
    <w:basedOn w:val="Normal"/>
    <w:rsid w:val="00286891"/>
    <w:pPr>
      <w:spacing w:after="160" w:line="240" w:lineRule="exact"/>
    </w:pPr>
    <w:rPr>
      <w:sz w:val="20"/>
      <w:szCs w:val="20"/>
    </w:rPr>
  </w:style>
  <w:style w:type="paragraph" w:styleId="BalloonText">
    <w:name w:val="Balloon Text"/>
    <w:basedOn w:val="Normal"/>
    <w:link w:val="BalloonTextChar"/>
    <w:rsid w:val="00F2168D"/>
    <w:rPr>
      <w:rFonts w:ascii="Tahoma" w:hAnsi="Tahoma" w:cs="Tahoma"/>
      <w:sz w:val="16"/>
      <w:szCs w:val="16"/>
    </w:rPr>
  </w:style>
  <w:style w:type="character" w:customStyle="1" w:styleId="BalloonTextChar">
    <w:name w:val="Balloon Text Char"/>
    <w:basedOn w:val="DefaultParagraphFont"/>
    <w:link w:val="BalloonText"/>
    <w:rsid w:val="00F2168D"/>
    <w:rPr>
      <w:rFonts w:ascii="Tahoma" w:hAnsi="Tahoma" w:cs="Tahoma"/>
      <w:sz w:val="16"/>
      <w:szCs w:val="16"/>
    </w:rPr>
  </w:style>
  <w:style w:type="paragraph" w:styleId="ListParagraph">
    <w:name w:val="List Paragraph"/>
    <w:basedOn w:val="Normal"/>
    <w:link w:val="ListParagraphChar"/>
    <w:uiPriority w:val="34"/>
    <w:qFormat/>
    <w:rsid w:val="00F2168D"/>
    <w:pPr>
      <w:spacing w:after="200" w:line="276" w:lineRule="auto"/>
      <w:ind w:left="720"/>
    </w:pPr>
    <w:rPr>
      <w:rFonts w:ascii="Calibri" w:hAnsi="Calibri" w:cs="Arial"/>
      <w:sz w:val="22"/>
      <w:szCs w:val="22"/>
    </w:rPr>
  </w:style>
  <w:style w:type="character" w:styleId="Strong">
    <w:name w:val="Strong"/>
    <w:basedOn w:val="DefaultParagraphFont"/>
    <w:uiPriority w:val="22"/>
    <w:qFormat/>
    <w:rsid w:val="00980BAC"/>
    <w:rPr>
      <w:b/>
      <w:bCs/>
    </w:rPr>
  </w:style>
  <w:style w:type="character" w:customStyle="1" w:styleId="ListParagraphChar">
    <w:name w:val="List Paragraph Char"/>
    <w:basedOn w:val="DefaultParagraphFont"/>
    <w:link w:val="ListParagraph"/>
    <w:uiPriority w:val="34"/>
    <w:locked/>
    <w:rsid w:val="004B3627"/>
    <w:rPr>
      <w:rFonts w:ascii="Calibri" w:hAnsi="Calibri" w:cs="Arial"/>
      <w:sz w:val="22"/>
      <w:szCs w:val="22"/>
    </w:rPr>
  </w:style>
</w:styles>
</file>

<file path=word/webSettings.xml><?xml version="1.0" encoding="utf-8"?>
<w:webSettings xmlns:r="http://schemas.openxmlformats.org/officeDocument/2006/relationships" xmlns:w="http://schemas.openxmlformats.org/wordprocessingml/2006/main">
  <w:divs>
    <w:div w:id="31811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bisec@nilebasi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ilebasi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Links>
    <vt:vector size="6" baseType="variant">
      <vt:variant>
        <vt:i4>7143503</vt:i4>
      </vt:variant>
      <vt:variant>
        <vt:i4>3</vt:i4>
      </vt:variant>
      <vt:variant>
        <vt:i4>0</vt:i4>
      </vt:variant>
      <vt:variant>
        <vt:i4>5</vt:i4>
      </vt:variant>
      <vt:variant>
        <vt:lpwstr>mailto:dmassamba@nilebasin.org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nbi</dc:creator>
  <cp:lastModifiedBy>Jane</cp:lastModifiedBy>
  <cp:revision>2</cp:revision>
  <cp:lastPrinted>2013-09-27T09:26:00Z</cp:lastPrinted>
  <dcterms:created xsi:type="dcterms:W3CDTF">2013-11-22T06:40:00Z</dcterms:created>
  <dcterms:modified xsi:type="dcterms:W3CDTF">2013-11-22T06:40:00Z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